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50DF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4E3AA175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4BEB40C3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40B7BE67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600B30AA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2754EB52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12C198E9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1CF02A97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153EB26E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10FEDC39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3E0A58CC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6D352FD8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46A68C4A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605EA09D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462D4ABC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4DDDA618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03C4E6CB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4FD6DD53" w14:textId="77777777" w:rsid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14:paraId="62C94BDC" w14:textId="33D6BB29" w:rsidR="00EE3EC5" w:rsidRPr="00EE3EC5" w:rsidRDefault="00EE3EC5" w:rsidP="00EE3E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EE3EC5">
        <w:rPr>
          <w:rFonts w:ascii="Times New Roman" w:hAnsi="Times New Roman" w:cs="Times New Roman"/>
          <w:b/>
          <w:sz w:val="32"/>
          <w:szCs w:val="24"/>
          <w:lang w:val="uk-UA"/>
        </w:rPr>
        <w:t xml:space="preserve">ЕКОЛОГО-ФАУНІСТИЧНА ХАРАКТЕРИСТИКА ДЕНДРОФІЛЬНОЇ ГРУПИ ОРНІТОФАУНИ НЕМИРІВСЬКОГО </w:t>
      </w:r>
      <w:r w:rsidRPr="00EE3EC5">
        <w:rPr>
          <w:rFonts w:ascii="Times New Roman" w:hAnsi="Times New Roman" w:cs="Times New Roman"/>
          <w:b/>
          <w:sz w:val="32"/>
          <w:szCs w:val="24"/>
          <w:lang w:val="uk-UA"/>
        </w:rPr>
        <w:t xml:space="preserve"> ТА МОГИЛІВ-ПОДІЛЬСЬКОГО </w:t>
      </w:r>
      <w:r w:rsidRPr="00EE3EC5"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  <w:r w:rsidRPr="00EE3EC5">
        <w:rPr>
          <w:rFonts w:ascii="Times New Roman" w:hAnsi="Times New Roman" w:cs="Times New Roman"/>
          <w:b/>
          <w:sz w:val="32"/>
          <w:szCs w:val="24"/>
          <w:lang w:val="uk-UA"/>
        </w:rPr>
        <w:t xml:space="preserve">РАЙОНІВ </w:t>
      </w:r>
      <w:r w:rsidRPr="00EE3EC5">
        <w:rPr>
          <w:rFonts w:ascii="Times New Roman" w:hAnsi="Times New Roman" w:cs="Times New Roman"/>
          <w:b/>
          <w:sz w:val="32"/>
          <w:szCs w:val="24"/>
          <w:lang w:val="uk-UA"/>
        </w:rPr>
        <w:t>ВІННИЦЬКОЇ ОБЛАСТІ</w:t>
      </w:r>
    </w:p>
    <w:p w14:paraId="67DE267A" w14:textId="00F5934C" w:rsidR="00B02642" w:rsidRDefault="00B02642" w:rsidP="00EE3EC5">
      <w:pPr>
        <w:jc w:val="center"/>
        <w:rPr>
          <w:sz w:val="28"/>
          <w:szCs w:val="28"/>
          <w:lang w:val="uk-UA"/>
        </w:rPr>
      </w:pPr>
    </w:p>
    <w:p w14:paraId="68206B6D" w14:textId="052C7C93" w:rsidR="00EE3EC5" w:rsidRDefault="00EE3EC5" w:rsidP="00EE3EC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E3EC5">
        <w:rPr>
          <w:rFonts w:ascii="Times New Roman" w:hAnsi="Times New Roman" w:cs="Times New Roman"/>
          <w:b/>
          <w:bCs/>
          <w:sz w:val="32"/>
          <w:szCs w:val="32"/>
          <w:lang w:val="uk-UA"/>
        </w:rPr>
        <w:t>ФЛАЙ</w:t>
      </w:r>
    </w:p>
    <w:p w14:paraId="16B3D617" w14:textId="0C28FD29" w:rsidR="00EE3EC5" w:rsidRDefault="00EE3EC5" w:rsidP="00EE3EC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B84C857" w14:textId="50067F28" w:rsidR="00EE3EC5" w:rsidRDefault="00EE3EC5" w:rsidP="00EE3EC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2448FB4C" w14:textId="1EDD5D51" w:rsidR="00EE3EC5" w:rsidRDefault="00EE3EC5" w:rsidP="00EE3EC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2D51A393" w14:textId="2FFD0C41" w:rsidR="00EE3EC5" w:rsidRDefault="00EE3EC5" w:rsidP="00EE3EC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9CBE8E4" w14:textId="3EB22D0C" w:rsidR="00EE3EC5" w:rsidRDefault="00EE3EC5" w:rsidP="00EE3EC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5477045E" w14:textId="74EF7046" w:rsidR="00EE3EC5" w:rsidRDefault="00EE3EC5" w:rsidP="00EE3EC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20B31D60" w14:textId="127AADBD" w:rsidR="00EE3EC5" w:rsidRDefault="00EE3EC5" w:rsidP="00EE3EC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0767F88A" w14:textId="3AB6878C" w:rsidR="00EE3EC5" w:rsidRDefault="00EE3EC5" w:rsidP="00EE3EC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077ACF4B" w14:textId="0D6F2406" w:rsidR="00EE3EC5" w:rsidRDefault="00EE3EC5" w:rsidP="00EE3EC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7BC5C15C" w14:textId="6C97D5B0" w:rsidR="00EE3EC5" w:rsidRDefault="00EE3EC5" w:rsidP="00EE3EC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7EDB71A" w14:textId="15962528" w:rsidR="00EE3EC5" w:rsidRDefault="00EE3EC5" w:rsidP="00EE3EC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3C1C38A9" w14:textId="21B69007" w:rsidR="00EE3EC5" w:rsidRDefault="00EE3EC5" w:rsidP="00EE3EC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73C00DD8" w14:textId="29E0053E" w:rsidR="00EE3EC5" w:rsidRDefault="00EE3EC5" w:rsidP="00EE3EC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5A3A2AF" w14:textId="118FB823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E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Анотація. </w:t>
      </w:r>
      <w:r w:rsidRPr="00EE3EC5">
        <w:rPr>
          <w:rFonts w:ascii="Times New Roman" w:hAnsi="Times New Roman" w:cs="Times New Roman"/>
          <w:sz w:val="28"/>
          <w:szCs w:val="28"/>
          <w:lang w:val="uk-UA"/>
        </w:rPr>
        <w:t xml:space="preserve">У даному дослідженні подана інформація про </w:t>
      </w:r>
      <w:proofErr w:type="spellStart"/>
      <w:r w:rsidRPr="00EE3EC5">
        <w:rPr>
          <w:rFonts w:ascii="Times New Roman" w:hAnsi="Times New Roman" w:cs="Times New Roman"/>
          <w:sz w:val="28"/>
          <w:szCs w:val="28"/>
          <w:lang w:val="uk-UA"/>
        </w:rPr>
        <w:t>дендрофільну</w:t>
      </w:r>
      <w:proofErr w:type="spellEnd"/>
      <w:r w:rsidRPr="00EE3EC5">
        <w:rPr>
          <w:rFonts w:ascii="Times New Roman" w:hAnsi="Times New Roman" w:cs="Times New Roman"/>
          <w:sz w:val="28"/>
          <w:szCs w:val="28"/>
          <w:lang w:val="uk-UA"/>
        </w:rPr>
        <w:t xml:space="preserve"> групу орнітофауни Немирівського </w:t>
      </w:r>
      <w:r w:rsidRPr="00EE3EC5">
        <w:rPr>
          <w:rFonts w:ascii="Times New Roman" w:hAnsi="Times New Roman" w:cs="Times New Roman"/>
          <w:sz w:val="28"/>
          <w:szCs w:val="28"/>
          <w:lang w:val="uk-UA"/>
        </w:rPr>
        <w:t xml:space="preserve">району на прикладі комплексної </w:t>
      </w:r>
      <w:proofErr w:type="spellStart"/>
      <w:r w:rsidRPr="00EE3EC5">
        <w:rPr>
          <w:rFonts w:ascii="Times New Roman" w:hAnsi="Times New Roman" w:cs="Times New Roman"/>
          <w:sz w:val="28"/>
          <w:szCs w:val="28"/>
          <w:lang w:val="uk-UA"/>
        </w:rPr>
        <w:t>памятки</w:t>
      </w:r>
      <w:proofErr w:type="spellEnd"/>
      <w:r w:rsidRPr="00EE3EC5">
        <w:rPr>
          <w:rFonts w:ascii="Times New Roman" w:hAnsi="Times New Roman" w:cs="Times New Roman"/>
          <w:sz w:val="28"/>
          <w:szCs w:val="28"/>
          <w:lang w:val="uk-UA"/>
        </w:rPr>
        <w:t xml:space="preserve"> природи «Немирівське городище» та Могилів-Подільського району на прикладі РЛП «Дністер».</w:t>
      </w:r>
      <w:r w:rsidRPr="00EE3EC5">
        <w:rPr>
          <w:rFonts w:ascii="Times New Roman" w:hAnsi="Times New Roman" w:cs="Times New Roman"/>
          <w:sz w:val="28"/>
          <w:szCs w:val="28"/>
          <w:lang w:val="uk-UA"/>
        </w:rPr>
        <w:t xml:space="preserve"> Подано характеристику </w:t>
      </w:r>
      <w:proofErr w:type="spellStart"/>
      <w:r w:rsidRPr="00EE3EC5">
        <w:rPr>
          <w:rFonts w:ascii="Times New Roman" w:hAnsi="Times New Roman" w:cs="Times New Roman"/>
          <w:sz w:val="28"/>
          <w:szCs w:val="28"/>
          <w:lang w:val="uk-UA"/>
        </w:rPr>
        <w:t>дендрофільної</w:t>
      </w:r>
      <w:proofErr w:type="spellEnd"/>
      <w:r w:rsidRPr="00EE3EC5">
        <w:rPr>
          <w:rFonts w:ascii="Times New Roman" w:hAnsi="Times New Roman" w:cs="Times New Roman"/>
          <w:sz w:val="28"/>
          <w:szCs w:val="28"/>
          <w:lang w:val="uk-UA"/>
        </w:rPr>
        <w:t xml:space="preserve"> групи птахів за наступними показниками: тип ареалу, трофічна спеціалізація, типи розташування гнізд, а також проміжні данні сезонного аналізу та данні орнітофауни, які належать до природоохоронних списків.</w:t>
      </w:r>
      <w:r w:rsidRPr="00EE3EC5">
        <w:rPr>
          <w:rFonts w:ascii="Times New Roman" w:hAnsi="Times New Roman" w:cs="Times New Roman"/>
          <w:sz w:val="28"/>
          <w:szCs w:val="28"/>
          <w:lang w:val="uk-UA"/>
        </w:rPr>
        <w:t xml:space="preserve"> В ході дослідження використовувалась методика </w:t>
      </w:r>
      <w:proofErr w:type="spellStart"/>
      <w:r w:rsidRPr="00EE3EC5">
        <w:rPr>
          <w:rFonts w:ascii="Times New Roman" w:hAnsi="Times New Roman" w:cs="Times New Roman"/>
          <w:sz w:val="28"/>
          <w:szCs w:val="28"/>
          <w:lang w:val="uk-UA"/>
        </w:rPr>
        <w:t>маршутного</w:t>
      </w:r>
      <w:proofErr w:type="spellEnd"/>
      <w:r w:rsidRPr="00EE3EC5">
        <w:rPr>
          <w:rFonts w:ascii="Times New Roman" w:hAnsi="Times New Roman" w:cs="Times New Roman"/>
          <w:sz w:val="28"/>
          <w:szCs w:val="28"/>
          <w:lang w:val="uk-UA"/>
        </w:rPr>
        <w:t xml:space="preserve"> обліку. </w:t>
      </w:r>
      <w:r w:rsidRPr="00EE3EC5">
        <w:rPr>
          <w:rFonts w:ascii="Times New Roman" w:hAnsi="Times New Roman" w:cs="Times New Roman"/>
          <w:sz w:val="28"/>
          <w:szCs w:val="28"/>
          <w:lang w:val="uk-UA"/>
        </w:rPr>
        <w:t xml:space="preserve">З наукової точки зору, представлена робота є актуальною, оскільки дослідження </w:t>
      </w:r>
      <w:proofErr w:type="spellStart"/>
      <w:r w:rsidRPr="00EE3EC5">
        <w:rPr>
          <w:rFonts w:ascii="Times New Roman" w:hAnsi="Times New Roman" w:cs="Times New Roman"/>
          <w:sz w:val="28"/>
          <w:szCs w:val="28"/>
          <w:lang w:val="uk-UA"/>
        </w:rPr>
        <w:t>орнітонаселення</w:t>
      </w:r>
      <w:proofErr w:type="spellEnd"/>
      <w:r w:rsidRPr="00EE3EC5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зазначеної вище території</w:t>
      </w:r>
      <w:r w:rsidRPr="00EE3EC5">
        <w:rPr>
          <w:rFonts w:ascii="Times New Roman" w:hAnsi="Times New Roman" w:cs="Times New Roman"/>
          <w:sz w:val="28"/>
          <w:szCs w:val="28"/>
          <w:lang w:val="uk-UA"/>
        </w:rPr>
        <w:t xml:space="preserve"> не проводилося або проходило відносно давно.</w:t>
      </w:r>
    </w:p>
    <w:p w14:paraId="5197D97A" w14:textId="497EF117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F3DC0B" w14:textId="174D5FED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Start w:id="0" w:name="_Hlk514662811" w:displacedByCustomXml="next"/>
    <w:bookmarkEnd w:id="0" w:displacedByCustomXml="next"/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val="uk-UA" w:bidi="ar-SA"/>
        </w:rPr>
        <w:id w:val="321921671"/>
        <w:docPartObj>
          <w:docPartGallery w:val="Table of Contents"/>
          <w:docPartUnique/>
        </w:docPartObj>
      </w:sdtPr>
      <w:sdtContent>
        <w:p w14:paraId="699E3199" w14:textId="77777777" w:rsidR="00EE3EC5" w:rsidRPr="00F62DC3" w:rsidRDefault="00EE3EC5" w:rsidP="00EE3EC5">
          <w:pPr>
            <w:pStyle w:val="a4"/>
            <w:spacing w:before="0" w:line="360" w:lineRule="auto"/>
            <w:jc w:val="center"/>
            <w:rPr>
              <w:rFonts w:ascii="Times New Roman" w:hAnsi="Times New Roman"/>
              <w:color w:val="auto"/>
              <w:lang w:val="uk-UA"/>
            </w:rPr>
          </w:pPr>
          <w:r w:rsidRPr="004F6AFE">
            <w:rPr>
              <w:rFonts w:ascii="Times New Roman" w:hAnsi="Times New Roman"/>
              <w:color w:val="auto"/>
              <w:lang w:val="uk-UA"/>
            </w:rPr>
            <w:t>ЗМІСТ</w:t>
          </w:r>
        </w:p>
        <w:p w14:paraId="74E19C6F" w14:textId="77777777" w:rsidR="00EE3EC5" w:rsidRDefault="00EE3EC5" w:rsidP="00EE3EC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UA" w:eastAsia="ru-UA"/>
            </w:rPr>
          </w:pPr>
          <w:r w:rsidRPr="004F6AFE">
            <w:rPr>
              <w:rFonts w:ascii="Times New Roman" w:hAnsi="Times New Roman"/>
              <w:sz w:val="28"/>
              <w:szCs w:val="28"/>
              <w:lang w:val="uk-UA"/>
            </w:rPr>
            <w:fldChar w:fldCharType="begin"/>
          </w:r>
          <w:r w:rsidRPr="004F6AFE">
            <w:rPr>
              <w:rFonts w:ascii="Times New Roman" w:hAnsi="Times New Roman"/>
              <w:sz w:val="28"/>
              <w:szCs w:val="28"/>
              <w:lang w:val="uk-UA"/>
            </w:rPr>
            <w:instrText xml:space="preserve"> TOC \o "1-3" \h \z \u </w:instrText>
          </w:r>
          <w:r w:rsidRPr="004F6AFE">
            <w:rPr>
              <w:rFonts w:ascii="Times New Roman" w:hAnsi="Times New Roman"/>
              <w:sz w:val="28"/>
              <w:szCs w:val="28"/>
              <w:lang w:val="uk-UA"/>
            </w:rPr>
            <w:fldChar w:fldCharType="separate"/>
          </w:r>
          <w:hyperlink w:anchor="_Toc31302007" w:history="1">
            <w:r w:rsidRPr="00B650A2">
              <w:rPr>
                <w:rStyle w:val="a3"/>
                <w:rFonts w:ascii="Times New Roman" w:hAnsi="Times New Roman"/>
                <w:noProof/>
                <w:lang w:val="uk-UA"/>
              </w:rPr>
              <w:t>СЛОВНИК ВЖИВАНИХ ТЕРМІНІВ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_Toc31302007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B5712" w14:textId="77777777" w:rsidR="00EE3EC5" w:rsidRDefault="00EE3EC5" w:rsidP="00EE3EC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UA" w:eastAsia="ru-UA"/>
            </w:rPr>
          </w:pPr>
          <w:hyperlink w:anchor="_Toc31302008" w:history="1">
            <w:r w:rsidRPr="00B650A2">
              <w:rPr>
                <w:rStyle w:val="a3"/>
                <w:rFonts w:ascii="Times New Roman" w:hAnsi="Times New Roman"/>
                <w:noProof/>
                <w:lang w:val="uk-UA"/>
              </w:rPr>
              <w:t>ВСТУП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_Toc31302008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8140D" w14:textId="77777777" w:rsidR="00EE3EC5" w:rsidRDefault="00EE3EC5" w:rsidP="00EE3EC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UA" w:eastAsia="ru-UA"/>
            </w:rPr>
          </w:pPr>
          <w:hyperlink w:anchor="_Toc31302009" w:history="1">
            <w:r w:rsidRPr="00B650A2">
              <w:rPr>
                <w:rStyle w:val="a3"/>
                <w:rFonts w:ascii="Times New Roman" w:hAnsi="Times New Roman"/>
                <w:noProof/>
                <w:lang w:val="uk-UA"/>
              </w:rPr>
              <w:t>РОЗДІЛ 1 ФІЗИКО-ГЕОГРАФІЧНИЙ ОГЛЯД ТЕРИТОРІЇ ДОСЛІДЖЕНЬ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_Toc31302009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75E747" w14:textId="77777777" w:rsidR="00EE3EC5" w:rsidRDefault="00EE3EC5" w:rsidP="00EE3EC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UA" w:eastAsia="ru-UA"/>
            </w:rPr>
          </w:pPr>
          <w:hyperlink w:anchor="_Toc31302010" w:history="1">
            <w:r w:rsidRPr="00B650A2">
              <w:rPr>
                <w:rStyle w:val="a3"/>
                <w:rFonts w:ascii="Times New Roman" w:hAnsi="Times New Roman"/>
                <w:noProof/>
                <w:lang w:val="uk-UA"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val="ru-UA" w:eastAsia="ru-UA"/>
              </w:rPr>
              <w:tab/>
            </w:r>
            <w:r w:rsidRPr="00B650A2">
              <w:rPr>
                <w:rStyle w:val="a3"/>
                <w:rFonts w:ascii="Times New Roman" w:hAnsi="Times New Roman"/>
                <w:noProof/>
                <w:lang w:val="uk-UA"/>
              </w:rPr>
              <w:t>Геологічна будова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_Toc31302010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365D3E" w14:textId="77777777" w:rsidR="00EE3EC5" w:rsidRDefault="00EE3EC5" w:rsidP="00EE3EC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UA" w:eastAsia="ru-UA"/>
            </w:rPr>
          </w:pPr>
          <w:hyperlink w:anchor="_Toc31302011" w:history="1">
            <w:r w:rsidRPr="00B650A2">
              <w:rPr>
                <w:rStyle w:val="a3"/>
                <w:rFonts w:ascii="Times New Roman" w:hAnsi="Times New Roman"/>
                <w:noProof/>
                <w:lang w:val="uk-UA"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lang w:val="ru-UA" w:eastAsia="ru-UA"/>
              </w:rPr>
              <w:tab/>
            </w:r>
            <w:r w:rsidRPr="00B650A2">
              <w:rPr>
                <w:rStyle w:val="a3"/>
                <w:rFonts w:ascii="Times New Roman" w:hAnsi="Times New Roman"/>
                <w:noProof/>
                <w:lang w:val="uk-UA"/>
              </w:rPr>
              <w:t>Рельєф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_Toc31302011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A3F42E" w14:textId="77777777" w:rsidR="00EE3EC5" w:rsidRDefault="00EE3EC5" w:rsidP="00EE3EC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UA" w:eastAsia="ru-UA"/>
            </w:rPr>
          </w:pPr>
          <w:hyperlink w:anchor="_Toc31302012" w:history="1">
            <w:r w:rsidRPr="00B650A2">
              <w:rPr>
                <w:rStyle w:val="a3"/>
                <w:rFonts w:ascii="Times New Roman" w:hAnsi="Times New Roman"/>
                <w:iCs/>
                <w:noProof/>
                <w:lang w:val="uk-UA"/>
              </w:rPr>
              <w:t>РО</w:t>
            </w:r>
            <w:r w:rsidRPr="00B650A2">
              <w:rPr>
                <w:rStyle w:val="a3"/>
                <w:rFonts w:ascii="Times New Roman" w:hAnsi="Times New Roman"/>
                <w:noProof/>
                <w:lang w:val="uk-UA" w:bidi="en-US"/>
              </w:rPr>
              <w:t>ЗДІЛ 2 МАТЕРІАЛИ ТА МЕТОДИКА ДОСЛІДЖЕНЬ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_Toc31302012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DB6EB1" w14:textId="77777777" w:rsidR="00EE3EC5" w:rsidRDefault="00EE3EC5" w:rsidP="00EE3EC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UA" w:eastAsia="ru-UA"/>
            </w:rPr>
          </w:pPr>
          <w:hyperlink w:anchor="_Toc31302013" w:history="1">
            <w:r w:rsidRPr="00B650A2">
              <w:rPr>
                <w:rStyle w:val="a3"/>
                <w:rFonts w:ascii="Times New Roman" w:hAnsi="Times New Roman"/>
                <w:b/>
                <w:bCs/>
                <w:noProof/>
                <w:lang w:val="uk-UA" w:bidi="en-US"/>
              </w:rPr>
              <w:t>2.1 Збір та первинна обробка матеріалу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_Toc31302013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237F2" w14:textId="77777777" w:rsidR="00EE3EC5" w:rsidRDefault="00EE3EC5" w:rsidP="00EE3EC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UA" w:eastAsia="ru-UA"/>
            </w:rPr>
          </w:pPr>
          <w:hyperlink w:anchor="_Toc31302014" w:history="1">
            <w:r w:rsidRPr="00B650A2">
              <w:rPr>
                <w:rStyle w:val="a3"/>
                <w:rFonts w:ascii="Times New Roman" w:hAnsi="Times New Roman"/>
                <w:b/>
                <w:bCs/>
                <w:noProof/>
                <w:lang w:val="uk-UA" w:bidi="en-US"/>
              </w:rPr>
              <w:t>2.2. Методологія проведення обліків орнітофауни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_Toc31302014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908E0" w14:textId="77777777" w:rsidR="00EE3EC5" w:rsidRDefault="00EE3EC5" w:rsidP="00EE3EC5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UA" w:eastAsia="ru-UA"/>
            </w:rPr>
          </w:pPr>
          <w:hyperlink w:anchor="_Toc31302015" w:history="1">
            <w:r w:rsidRPr="00B650A2">
              <w:rPr>
                <w:rStyle w:val="a3"/>
                <w:rFonts w:ascii="Times New Roman" w:eastAsiaTheme="majorEastAsia" w:hAnsi="Times New Roman"/>
                <w:bCs/>
                <w:noProof/>
                <w:lang w:val="uk-UA"/>
              </w:rPr>
              <w:t>2.2.1 Маршрутний облік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_Toc31302015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62835" w14:textId="77777777" w:rsidR="00EE3EC5" w:rsidRDefault="00EE3EC5" w:rsidP="00EE3EC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UA" w:eastAsia="ru-UA"/>
            </w:rPr>
          </w:pPr>
          <w:hyperlink w:anchor="_Toc31302016" w:history="1">
            <w:r w:rsidRPr="00B650A2">
              <w:rPr>
                <w:rStyle w:val="a3"/>
                <w:rFonts w:ascii="Times New Roman" w:hAnsi="Times New Roman"/>
                <w:bCs/>
                <w:caps/>
                <w:noProof/>
                <w:lang w:val="uk-UA" w:bidi="en-US"/>
              </w:rPr>
              <w:t>розділ 3 Еколого-фаунІстичний аналіз орнітофауни Комплекної пам’ятки природи «немирівське городище» тА РЕГІОНАЛЬНОГО ЛАНДШАФТНОГО ПАРКУ «Дністер»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_Toc31302016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140E3" w14:textId="77777777" w:rsidR="00EE3EC5" w:rsidRDefault="00EE3EC5" w:rsidP="00EE3EC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UA" w:eastAsia="ru-UA"/>
            </w:rPr>
          </w:pPr>
          <w:hyperlink w:anchor="_Toc31302017" w:history="1">
            <w:r w:rsidRPr="00B650A2">
              <w:rPr>
                <w:rStyle w:val="a3"/>
                <w:rFonts w:ascii="Times New Roman" w:hAnsi="Times New Roman"/>
                <w:b/>
                <w:noProof/>
                <w:lang w:val="uk-UA" w:eastAsia="ru-RU"/>
              </w:rPr>
              <w:t xml:space="preserve">3.1 </w:t>
            </w:r>
            <w:r w:rsidRPr="00B650A2">
              <w:rPr>
                <w:rStyle w:val="a3"/>
                <w:rFonts w:ascii="Times New Roman" w:hAnsi="Times New Roman"/>
                <w:b/>
                <w:bCs/>
                <w:noProof/>
                <w:lang w:val="uk-UA" w:bidi="en-US"/>
              </w:rPr>
              <w:t>Топічний аналіз гніздової та міграційної орнітофауни комплексної пам’ятки природи «Немирівське городище» та регіонального ландшафтного парку «Дністер»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_Toc31302017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310D0" w14:textId="77777777" w:rsidR="00EE3EC5" w:rsidRDefault="00EE3EC5" w:rsidP="00EE3EC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UA" w:eastAsia="ru-UA"/>
            </w:rPr>
          </w:pPr>
          <w:hyperlink w:anchor="_Toc31302018" w:history="1">
            <w:r w:rsidRPr="00B650A2">
              <w:rPr>
                <w:rStyle w:val="a3"/>
                <w:rFonts w:ascii="Times New Roman" w:hAnsi="Times New Roman"/>
                <w:b/>
                <w:noProof/>
                <w:lang w:val="uk-UA" w:eastAsia="ru-RU"/>
              </w:rPr>
              <w:t>3.2. Детальний аналіз дендрофільної топічної групи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_Toc31302018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8FF4A" w14:textId="77777777" w:rsidR="00EE3EC5" w:rsidRDefault="00EE3EC5" w:rsidP="00EE3EC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UA" w:eastAsia="ru-UA"/>
            </w:rPr>
          </w:pPr>
          <w:hyperlink w:anchor="_Toc31302019" w:history="1">
            <w:r w:rsidRPr="00B650A2">
              <w:rPr>
                <w:rStyle w:val="a3"/>
                <w:rFonts w:ascii="Times New Roman" w:hAnsi="Times New Roman"/>
                <w:noProof/>
                <w:lang w:val="uk-UA"/>
              </w:rPr>
              <w:t>3.5. Аналіз дендрофільної топічної групи орнітофауни КПП«Немирівське городище» та РЛП «Дністер» за природоохоронними списками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_Toc31302019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A679F3" w14:textId="77777777" w:rsidR="00EE3EC5" w:rsidRDefault="00EE3EC5" w:rsidP="00EE3EC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UA" w:eastAsia="ru-UA"/>
            </w:rPr>
          </w:pPr>
          <w:hyperlink w:anchor="_Toc31302020" w:history="1">
            <w:r w:rsidRPr="00B650A2">
              <w:rPr>
                <w:rStyle w:val="a3"/>
                <w:rFonts w:ascii="Times New Roman" w:hAnsi="Times New Roman"/>
                <w:noProof/>
                <w:lang w:val="uk-UA"/>
              </w:rPr>
              <w:t>ВИСНОВКИ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_Toc31302020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11E5D" w14:textId="77777777" w:rsidR="00EE3EC5" w:rsidRDefault="00EE3EC5" w:rsidP="00EE3EC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UA" w:eastAsia="ru-UA"/>
            </w:rPr>
          </w:pPr>
          <w:hyperlink w:anchor="_Toc31302021" w:history="1">
            <w:r w:rsidRPr="00B650A2">
              <w:rPr>
                <w:rStyle w:val="a3"/>
                <w:rFonts w:ascii="Times New Roman" w:hAnsi="Times New Roman"/>
                <w:caps/>
                <w:noProof/>
                <w:lang w:val="uk-UA" w:eastAsia="ru-RU"/>
              </w:rPr>
              <w:t>Список ВИКОРИСТАНИХ ПОСИЛАНЬ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_Toc31302021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6D3BE" w14:textId="77777777" w:rsidR="00EE3EC5" w:rsidRPr="004F6AFE" w:rsidRDefault="00EE3EC5" w:rsidP="00EE3EC5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4F6AFE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end"/>
          </w:r>
        </w:p>
      </w:sdtContent>
    </w:sdt>
    <w:p w14:paraId="6EC5E076" w14:textId="77777777" w:rsidR="00EE3EC5" w:rsidRPr="004F6AFE" w:rsidRDefault="00EE3EC5" w:rsidP="00EE3EC5">
      <w:pPr>
        <w:spacing w:after="0" w:line="360" w:lineRule="auto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3840F0CD" w14:textId="77777777" w:rsidR="00EE3EC5" w:rsidRPr="004F6AFE" w:rsidRDefault="00EE3EC5" w:rsidP="00EE3EC5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1" w:name="_Toc31302007"/>
      <w:r w:rsidRPr="004F6AFE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СЛОВНИК ВЖИВАНИХ ТЕРМІНІВ</w:t>
      </w:r>
      <w:bookmarkEnd w:id="1"/>
    </w:p>
    <w:p w14:paraId="2E62AB89" w14:textId="77777777" w:rsidR="00EE3EC5" w:rsidRPr="004F6AFE" w:rsidRDefault="00EE3EC5" w:rsidP="00EE3E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5B700D" w14:textId="77777777" w:rsidR="00EE3EC5" w:rsidRPr="004F6AFE" w:rsidRDefault="00EE3EC5" w:rsidP="00EE3EC5">
      <w:pPr>
        <w:pStyle w:val="docdata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F6AFE">
        <w:rPr>
          <w:b/>
          <w:bCs/>
          <w:sz w:val="28"/>
          <w:szCs w:val="28"/>
          <w:lang w:val="uk-UA"/>
        </w:rPr>
        <w:t>Голарктика</w:t>
      </w:r>
      <w:proofErr w:type="spellEnd"/>
      <w:r w:rsidRPr="004F6AFE">
        <w:rPr>
          <w:b/>
          <w:bCs/>
          <w:sz w:val="28"/>
          <w:szCs w:val="28"/>
          <w:lang w:val="uk-UA"/>
        </w:rPr>
        <w:t> –</w:t>
      </w:r>
      <w:r w:rsidRPr="004F6AFE">
        <w:rPr>
          <w:sz w:val="28"/>
          <w:szCs w:val="28"/>
          <w:lang w:val="uk-UA"/>
        </w:rPr>
        <w:t xml:space="preserve"> біогеографічний регіон, що включає екосистеми всіх північних континентів Землі.</w:t>
      </w:r>
    </w:p>
    <w:p w14:paraId="40E66EED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F6AFE">
        <w:rPr>
          <w:b/>
          <w:bCs/>
          <w:sz w:val="28"/>
          <w:szCs w:val="28"/>
          <w:lang w:val="uk-UA"/>
        </w:rPr>
        <w:t>Дендрофільна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 топічна група (</w:t>
      </w:r>
      <w:proofErr w:type="spellStart"/>
      <w:r w:rsidRPr="004F6AFE">
        <w:rPr>
          <w:b/>
          <w:bCs/>
          <w:sz w:val="28"/>
          <w:szCs w:val="28"/>
          <w:lang w:val="uk-UA"/>
        </w:rPr>
        <w:t>дендрофіли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) – </w:t>
      </w:r>
      <w:r w:rsidRPr="004F6AFE">
        <w:rPr>
          <w:sz w:val="28"/>
          <w:szCs w:val="28"/>
          <w:lang w:val="uk-UA"/>
        </w:rPr>
        <w:t>види, що при виборі місць проживання тяжіють до лісів, садів, парків, тощо.</w:t>
      </w:r>
    </w:p>
    <w:p w14:paraId="633A4985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F6AFE">
        <w:rPr>
          <w:b/>
          <w:bCs/>
          <w:sz w:val="28"/>
          <w:szCs w:val="28"/>
          <w:lang w:val="uk-UA"/>
        </w:rPr>
        <w:t xml:space="preserve">Ентомофаги, або комахоїдні – </w:t>
      </w:r>
      <w:r w:rsidRPr="004F6AFE">
        <w:rPr>
          <w:sz w:val="28"/>
          <w:szCs w:val="28"/>
          <w:lang w:val="uk-UA"/>
        </w:rPr>
        <w:t>птахи, в яких раціон складається переважно з комах різних видів і стадій розвитку.</w:t>
      </w:r>
    </w:p>
    <w:p w14:paraId="4E2361D6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F6AFE">
        <w:rPr>
          <w:b/>
          <w:bCs/>
          <w:sz w:val="28"/>
          <w:szCs w:val="28"/>
          <w:lang w:val="uk-UA"/>
        </w:rPr>
        <w:t>Західно-палеарктичний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 тип ареалу – </w:t>
      </w:r>
      <w:r w:rsidRPr="004F6AFE">
        <w:rPr>
          <w:sz w:val="28"/>
          <w:szCs w:val="28"/>
          <w:lang w:val="uk-UA"/>
        </w:rPr>
        <w:t>ареал зосереджено на теренах від Європи в північних, та частково середніх її широтах до західного Сибіру.</w:t>
      </w:r>
    </w:p>
    <w:p w14:paraId="3E6D2582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F6AFE">
        <w:rPr>
          <w:b/>
          <w:bCs/>
          <w:sz w:val="28"/>
          <w:szCs w:val="28"/>
          <w:lang w:val="uk-UA"/>
        </w:rPr>
        <w:t>Кампофільна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 топічна група (</w:t>
      </w:r>
      <w:proofErr w:type="spellStart"/>
      <w:r w:rsidRPr="004F6AFE">
        <w:rPr>
          <w:b/>
          <w:bCs/>
          <w:sz w:val="28"/>
          <w:szCs w:val="28"/>
          <w:lang w:val="uk-UA"/>
        </w:rPr>
        <w:t>кампофіли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) – </w:t>
      </w:r>
      <w:r w:rsidRPr="004F6AFE">
        <w:rPr>
          <w:sz w:val="28"/>
          <w:szCs w:val="28"/>
          <w:lang w:val="uk-UA"/>
        </w:rPr>
        <w:t xml:space="preserve">види, що оселяються на відкритих просторах, агроценозах, сухих та </w:t>
      </w:r>
      <w:proofErr w:type="spellStart"/>
      <w:r w:rsidRPr="004F6AFE">
        <w:rPr>
          <w:sz w:val="28"/>
          <w:szCs w:val="28"/>
          <w:lang w:val="uk-UA"/>
        </w:rPr>
        <w:t>помірно</w:t>
      </w:r>
      <w:proofErr w:type="spellEnd"/>
      <w:r w:rsidRPr="004F6AFE">
        <w:rPr>
          <w:sz w:val="28"/>
          <w:szCs w:val="28"/>
          <w:lang w:val="uk-UA"/>
        </w:rPr>
        <w:t xml:space="preserve"> зволожених луках, пасовищах, узліссях, тощо.</w:t>
      </w:r>
    </w:p>
    <w:p w14:paraId="7C44D31A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F6AFE">
        <w:rPr>
          <w:b/>
          <w:bCs/>
          <w:sz w:val="28"/>
          <w:szCs w:val="28"/>
          <w:lang w:val="uk-UA"/>
        </w:rPr>
        <w:t>Космополітний</w:t>
      </w:r>
      <w:proofErr w:type="spellEnd"/>
      <w:r w:rsidRPr="004F6AFE">
        <w:rPr>
          <w:b/>
          <w:bCs/>
          <w:sz w:val="28"/>
          <w:szCs w:val="28"/>
          <w:lang w:val="uk-UA"/>
        </w:rPr>
        <w:t>/</w:t>
      </w:r>
      <w:proofErr w:type="spellStart"/>
      <w:r w:rsidRPr="004F6AFE">
        <w:rPr>
          <w:b/>
          <w:bCs/>
          <w:sz w:val="28"/>
          <w:szCs w:val="28"/>
          <w:lang w:val="uk-UA"/>
        </w:rPr>
        <w:t>напівкосмополітний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 тип ареалу – </w:t>
      </w:r>
      <w:r w:rsidRPr="004F6AFE">
        <w:rPr>
          <w:sz w:val="28"/>
          <w:szCs w:val="28"/>
          <w:lang w:val="uk-UA"/>
        </w:rPr>
        <w:t xml:space="preserve">характерна широка розповсюдженість як в </w:t>
      </w:r>
      <w:proofErr w:type="spellStart"/>
      <w:r w:rsidRPr="004F6AFE">
        <w:rPr>
          <w:sz w:val="28"/>
          <w:szCs w:val="28"/>
          <w:lang w:val="uk-UA"/>
        </w:rPr>
        <w:t>Палеарктиці</w:t>
      </w:r>
      <w:proofErr w:type="spellEnd"/>
      <w:r w:rsidRPr="004F6AFE">
        <w:rPr>
          <w:sz w:val="28"/>
          <w:szCs w:val="28"/>
          <w:lang w:val="uk-UA"/>
        </w:rPr>
        <w:t>, так і в інших зонах.</w:t>
      </w:r>
    </w:p>
    <w:p w14:paraId="77637558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F6AFE">
        <w:rPr>
          <w:b/>
          <w:bCs/>
          <w:sz w:val="28"/>
          <w:szCs w:val="28"/>
          <w:lang w:val="uk-UA"/>
        </w:rPr>
        <w:t>Лімнофільна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 топічна група (</w:t>
      </w:r>
      <w:proofErr w:type="spellStart"/>
      <w:r w:rsidRPr="004F6AFE">
        <w:rPr>
          <w:b/>
          <w:bCs/>
          <w:sz w:val="28"/>
          <w:szCs w:val="28"/>
          <w:lang w:val="uk-UA"/>
        </w:rPr>
        <w:t>лімнофіли</w:t>
      </w:r>
      <w:proofErr w:type="spellEnd"/>
      <w:r w:rsidRPr="004F6AFE">
        <w:rPr>
          <w:b/>
          <w:bCs/>
          <w:sz w:val="28"/>
          <w:szCs w:val="28"/>
          <w:lang w:val="uk-UA"/>
        </w:rPr>
        <w:t>) –</w:t>
      </w:r>
      <w:r w:rsidRPr="004F6AFE">
        <w:rPr>
          <w:sz w:val="28"/>
          <w:szCs w:val="28"/>
          <w:lang w:val="uk-UA"/>
        </w:rPr>
        <w:t xml:space="preserve"> види, для яких підходящими стаціями є водно-болотяні угіддя, заболочені місцини, прибережні ділянки рік, озер, тощо.</w:t>
      </w:r>
    </w:p>
    <w:p w14:paraId="3D999633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F6AFE">
        <w:rPr>
          <w:b/>
          <w:bCs/>
          <w:sz w:val="28"/>
          <w:szCs w:val="28"/>
          <w:lang w:val="uk-UA"/>
        </w:rPr>
        <w:t>Літуючі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 види –</w:t>
      </w:r>
      <w:r w:rsidRPr="004F6AFE">
        <w:rPr>
          <w:sz w:val="28"/>
          <w:szCs w:val="28"/>
          <w:lang w:val="uk-UA"/>
        </w:rPr>
        <w:t xml:space="preserve"> птахи, що перебувають на вказаній території, але не відтворюються на ній.</w:t>
      </w:r>
    </w:p>
    <w:p w14:paraId="4823E54A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F6AFE">
        <w:rPr>
          <w:b/>
          <w:bCs/>
          <w:sz w:val="28"/>
          <w:szCs w:val="28"/>
          <w:lang w:val="uk-UA"/>
        </w:rPr>
        <w:t>Орнітофаги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 – </w:t>
      </w:r>
      <w:r w:rsidRPr="004F6AFE">
        <w:rPr>
          <w:sz w:val="28"/>
          <w:szCs w:val="28"/>
          <w:lang w:val="uk-UA"/>
        </w:rPr>
        <w:t>група видів, що харчуються дрібними птахами.</w:t>
      </w:r>
    </w:p>
    <w:p w14:paraId="24201BA8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F6AFE">
        <w:rPr>
          <w:b/>
          <w:bCs/>
          <w:sz w:val="28"/>
          <w:szCs w:val="28"/>
          <w:lang w:val="uk-UA"/>
        </w:rPr>
        <w:t>Палеарктика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 або </w:t>
      </w:r>
      <w:proofErr w:type="spellStart"/>
      <w:r w:rsidRPr="004F6AFE">
        <w:rPr>
          <w:b/>
          <w:bCs/>
          <w:sz w:val="28"/>
          <w:szCs w:val="28"/>
          <w:lang w:val="uk-UA"/>
        </w:rPr>
        <w:t>Палеарктичний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 регіон –</w:t>
      </w:r>
      <w:r w:rsidRPr="004F6AFE">
        <w:rPr>
          <w:sz w:val="28"/>
          <w:szCs w:val="28"/>
          <w:lang w:val="uk-UA"/>
        </w:rPr>
        <w:t xml:space="preserve"> </w:t>
      </w:r>
      <w:proofErr w:type="spellStart"/>
      <w:r w:rsidRPr="004F6AFE">
        <w:rPr>
          <w:sz w:val="28"/>
          <w:szCs w:val="28"/>
          <w:lang w:val="uk-UA"/>
        </w:rPr>
        <w:t>екозона</w:t>
      </w:r>
      <w:proofErr w:type="spellEnd"/>
      <w:r w:rsidRPr="004F6AFE">
        <w:rPr>
          <w:sz w:val="28"/>
          <w:szCs w:val="28"/>
          <w:lang w:val="uk-UA"/>
        </w:rPr>
        <w:t xml:space="preserve"> (найбільша одиниця біогеографічного поділу Землі), що охоплює Європу, Азію на північ від Гімалаїв і Аравійського півострову та Північну Африку до південного краю пустелі Сахара. До нього відносяться і острови, розташовані поблизу позначених частин материків.</w:t>
      </w:r>
    </w:p>
    <w:p w14:paraId="7ED1B25A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4F6AFE">
        <w:rPr>
          <w:b/>
          <w:bCs/>
          <w:sz w:val="28"/>
          <w:szCs w:val="28"/>
          <w:lang w:val="uk-UA"/>
        </w:rPr>
        <w:t>Пантозоофаги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, або всеїдні зоофаги – </w:t>
      </w:r>
      <w:r w:rsidRPr="004F6AFE">
        <w:rPr>
          <w:sz w:val="28"/>
          <w:szCs w:val="28"/>
          <w:lang w:val="uk-UA"/>
        </w:rPr>
        <w:t xml:space="preserve">види, в раціоні яких присутня виключно тваринна їжа, але різного типу. Види що не мають специфічності в виборі корму. </w:t>
      </w:r>
    </w:p>
    <w:p w14:paraId="4DB41AFC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F6AFE">
        <w:rPr>
          <w:b/>
          <w:bCs/>
          <w:sz w:val="28"/>
          <w:szCs w:val="28"/>
          <w:lang w:val="uk-UA"/>
        </w:rPr>
        <w:lastRenderedPageBreak/>
        <w:t>Пантофаги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 – </w:t>
      </w:r>
      <w:r w:rsidRPr="004F6AFE">
        <w:rPr>
          <w:sz w:val="28"/>
          <w:szCs w:val="28"/>
          <w:lang w:val="uk-UA"/>
        </w:rPr>
        <w:t>види птахів, в раціоні яких, в рівних, або в майже рівних частках присутня як рослинна так і тваринна їжа.</w:t>
      </w:r>
    </w:p>
    <w:p w14:paraId="117C0BCB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F6AFE">
        <w:rPr>
          <w:b/>
          <w:bCs/>
          <w:sz w:val="28"/>
          <w:szCs w:val="28"/>
          <w:lang w:val="uk-UA"/>
        </w:rPr>
        <w:t>Південно-</w:t>
      </w:r>
      <w:proofErr w:type="spellStart"/>
      <w:r w:rsidRPr="004F6AFE">
        <w:rPr>
          <w:b/>
          <w:bCs/>
          <w:sz w:val="28"/>
          <w:szCs w:val="28"/>
          <w:lang w:val="uk-UA"/>
        </w:rPr>
        <w:t>палеарктичний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 тип ареалу – </w:t>
      </w:r>
      <w:r w:rsidRPr="004F6AFE">
        <w:rPr>
          <w:sz w:val="28"/>
          <w:szCs w:val="28"/>
          <w:lang w:val="uk-UA"/>
        </w:rPr>
        <w:t xml:space="preserve">для цього типу характерним є розповсюдження в південних регіонах </w:t>
      </w:r>
      <w:proofErr w:type="spellStart"/>
      <w:r w:rsidRPr="004F6AFE">
        <w:rPr>
          <w:sz w:val="28"/>
          <w:szCs w:val="28"/>
          <w:lang w:val="uk-UA"/>
        </w:rPr>
        <w:t>Палеарктики</w:t>
      </w:r>
      <w:proofErr w:type="spellEnd"/>
      <w:r w:rsidRPr="004F6AFE">
        <w:rPr>
          <w:sz w:val="28"/>
          <w:szCs w:val="28"/>
          <w:lang w:val="uk-UA"/>
        </w:rPr>
        <w:t>, зокрема в Середземноморському поясі.</w:t>
      </w:r>
    </w:p>
    <w:p w14:paraId="5EDD20D8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F6AFE">
        <w:rPr>
          <w:b/>
          <w:bCs/>
          <w:sz w:val="28"/>
          <w:szCs w:val="28"/>
          <w:lang w:val="uk-UA"/>
        </w:rPr>
        <w:t>Склерофільна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 топічна група (</w:t>
      </w:r>
      <w:proofErr w:type="spellStart"/>
      <w:r w:rsidRPr="004F6AFE">
        <w:rPr>
          <w:b/>
          <w:bCs/>
          <w:sz w:val="28"/>
          <w:szCs w:val="28"/>
          <w:lang w:val="uk-UA"/>
        </w:rPr>
        <w:t>склерофіли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) – </w:t>
      </w:r>
      <w:r w:rsidRPr="004F6AFE">
        <w:rPr>
          <w:sz w:val="28"/>
          <w:szCs w:val="28"/>
          <w:lang w:val="uk-UA"/>
        </w:rPr>
        <w:t xml:space="preserve">види, що заселяють скельні та урвисті місцини, або в’ють гнізда в розколинах і нішах антропогенних споруд. </w:t>
      </w:r>
    </w:p>
    <w:p w14:paraId="6441DDDA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F6AFE">
        <w:rPr>
          <w:b/>
          <w:bCs/>
          <w:sz w:val="28"/>
          <w:szCs w:val="28"/>
          <w:lang w:val="uk-UA"/>
        </w:rPr>
        <w:t xml:space="preserve">Стенофаги – </w:t>
      </w:r>
      <w:r w:rsidRPr="004F6AFE">
        <w:rPr>
          <w:sz w:val="28"/>
          <w:szCs w:val="28"/>
          <w:lang w:val="uk-UA"/>
        </w:rPr>
        <w:t>це види, що можуть харчуватися виключно однією групою організмів, а інколи і виключно одним видом. Стенофаги є дуже спеціалізованою за типом харчування групою.</w:t>
      </w:r>
    </w:p>
    <w:p w14:paraId="4DE8D6CD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F6AFE">
        <w:rPr>
          <w:b/>
          <w:bCs/>
          <w:sz w:val="28"/>
          <w:szCs w:val="28"/>
          <w:lang w:val="uk-UA"/>
        </w:rPr>
        <w:t>Східно-</w:t>
      </w:r>
      <w:proofErr w:type="spellStart"/>
      <w:r w:rsidRPr="004F6AFE">
        <w:rPr>
          <w:b/>
          <w:bCs/>
          <w:sz w:val="28"/>
          <w:szCs w:val="28"/>
          <w:lang w:val="uk-UA"/>
        </w:rPr>
        <w:t>палеарктичний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 тип ареалу – </w:t>
      </w:r>
      <w:r w:rsidRPr="004F6AFE">
        <w:rPr>
          <w:sz w:val="28"/>
          <w:szCs w:val="28"/>
          <w:lang w:val="uk-UA"/>
        </w:rPr>
        <w:t xml:space="preserve">для цього типу характерним є розповсюдження в східних регіонах </w:t>
      </w:r>
      <w:proofErr w:type="spellStart"/>
      <w:r w:rsidRPr="004F6AFE">
        <w:rPr>
          <w:sz w:val="28"/>
          <w:szCs w:val="28"/>
          <w:lang w:val="uk-UA"/>
        </w:rPr>
        <w:t>Палеарктики</w:t>
      </w:r>
      <w:proofErr w:type="spellEnd"/>
      <w:r w:rsidRPr="004F6AFE">
        <w:rPr>
          <w:sz w:val="28"/>
          <w:szCs w:val="28"/>
          <w:lang w:val="uk-UA"/>
        </w:rPr>
        <w:t>, зокрема в Азійському регіоні.</w:t>
      </w:r>
    </w:p>
    <w:p w14:paraId="788551CF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F6AFE">
        <w:rPr>
          <w:b/>
          <w:bCs/>
          <w:sz w:val="28"/>
          <w:szCs w:val="28"/>
          <w:lang w:val="uk-UA"/>
        </w:rPr>
        <w:t>Трансголарктичний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 тип ареалу – </w:t>
      </w:r>
      <w:r w:rsidRPr="004F6AFE">
        <w:rPr>
          <w:sz w:val="28"/>
          <w:szCs w:val="28"/>
          <w:lang w:val="uk-UA"/>
        </w:rPr>
        <w:t>ареал розповсюджено як в Північній Америці, так і в Євразії в їх середніх широтах, підіймаючись на північ до тундри.</w:t>
      </w:r>
    </w:p>
    <w:p w14:paraId="2DA05C26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F6AFE">
        <w:rPr>
          <w:b/>
          <w:bCs/>
          <w:sz w:val="28"/>
          <w:szCs w:val="28"/>
          <w:lang w:val="uk-UA"/>
        </w:rPr>
        <w:t>Транспалеарктичний</w:t>
      </w:r>
      <w:proofErr w:type="spellEnd"/>
      <w:r w:rsidRPr="004F6AFE">
        <w:rPr>
          <w:b/>
          <w:bCs/>
          <w:sz w:val="28"/>
          <w:szCs w:val="28"/>
          <w:lang w:val="uk-UA"/>
        </w:rPr>
        <w:t xml:space="preserve"> тип ареалу – </w:t>
      </w:r>
      <w:r w:rsidRPr="004F6AFE">
        <w:rPr>
          <w:sz w:val="28"/>
          <w:szCs w:val="28"/>
          <w:lang w:val="uk-UA"/>
        </w:rPr>
        <w:t xml:space="preserve">такий, що охоплює більшу частину </w:t>
      </w:r>
      <w:proofErr w:type="spellStart"/>
      <w:r w:rsidRPr="004F6AFE">
        <w:rPr>
          <w:sz w:val="28"/>
          <w:szCs w:val="28"/>
          <w:lang w:val="uk-UA"/>
        </w:rPr>
        <w:t>Палеарктики</w:t>
      </w:r>
      <w:proofErr w:type="spellEnd"/>
      <w:r w:rsidRPr="004F6AFE">
        <w:rPr>
          <w:sz w:val="28"/>
          <w:szCs w:val="28"/>
          <w:lang w:val="uk-UA"/>
        </w:rPr>
        <w:t>.</w:t>
      </w:r>
    </w:p>
    <w:p w14:paraId="7BFBF1A5" w14:textId="77777777" w:rsidR="00EE3EC5" w:rsidRPr="004F6AFE" w:rsidRDefault="00EE3EC5" w:rsidP="00EE3EC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F6AFE">
        <w:rPr>
          <w:b/>
          <w:bCs/>
          <w:sz w:val="28"/>
          <w:szCs w:val="28"/>
          <w:lang w:val="uk-UA"/>
        </w:rPr>
        <w:t xml:space="preserve">Фітофаги – </w:t>
      </w:r>
      <w:r w:rsidRPr="004F6AFE">
        <w:rPr>
          <w:sz w:val="28"/>
          <w:szCs w:val="28"/>
          <w:lang w:val="uk-UA"/>
        </w:rPr>
        <w:t>види, кормовий раціон яких переважною більшістю складають рослинні корми (насіння, плоди, бруньки, тощо).</w:t>
      </w:r>
    </w:p>
    <w:p w14:paraId="0B7250F6" w14:textId="77777777" w:rsidR="00EE3EC5" w:rsidRPr="004F6AFE" w:rsidRDefault="00EE3EC5" w:rsidP="00EE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b/>
          <w:sz w:val="28"/>
          <w:szCs w:val="28"/>
          <w:lang w:val="uk-UA"/>
        </w:rPr>
        <w:t>ЧКУ</w:t>
      </w: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– Червона книга України (редакція 2009 р.). Птахи Вінниччини, які включені до Червоної книги і згадані на сторінках цього видання належать до трьох категорій – зникаючі, вразливі та рідкісні;</w:t>
      </w:r>
    </w:p>
    <w:p w14:paraId="3B98B752" w14:textId="77777777" w:rsidR="00EE3EC5" w:rsidRPr="004F6AFE" w:rsidRDefault="00EE3EC5" w:rsidP="00EE3E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CBDA957" w14:textId="77777777" w:rsidR="00EE3EC5" w:rsidRPr="004F6AFE" w:rsidRDefault="00EE3EC5" w:rsidP="00EE3EC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lang w:val="uk-UA"/>
        </w:rPr>
      </w:pPr>
      <w:bookmarkStart w:id="2" w:name="_Toc31302008"/>
      <w:r w:rsidRPr="004F6AFE">
        <w:rPr>
          <w:rFonts w:ascii="Times New Roman" w:hAnsi="Times New Roman" w:cs="Times New Roman"/>
          <w:color w:val="auto"/>
          <w:lang w:val="uk-UA"/>
        </w:rPr>
        <w:lastRenderedPageBreak/>
        <w:t>ВСТУП</w:t>
      </w:r>
      <w:bookmarkEnd w:id="2"/>
    </w:p>
    <w:p w14:paraId="431665AB" w14:textId="77777777" w:rsidR="00EE3EC5" w:rsidRPr="004F6AFE" w:rsidRDefault="00EE3EC5" w:rsidP="00EE3E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471CB9" w14:textId="77777777" w:rsidR="00EE3EC5" w:rsidRPr="004F6AFE" w:rsidRDefault="00EE3EC5" w:rsidP="00EE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>З посиленням антропогенного впливу на території Вінницької області, та зменшенням природних резерватів лісостепових біогеоценозів, у зв’язку з значним рівнем розораності її території, дослідження біотичних складових зазначених вище ділянок має велике науково-практичне значення. Окрему увагу слід приділити орнітофауні, оскільки птахи, як складова біогеоценозів, є найбільш мобільною групою організмів, що гостро реагують на будь-які зміни навколишнього середовища.</w:t>
      </w:r>
    </w:p>
    <w:p w14:paraId="3C25C99D" w14:textId="77777777" w:rsidR="00EE3EC5" w:rsidRPr="004F6AFE" w:rsidRDefault="00EE3EC5" w:rsidP="00EE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В даній роботі проводиться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порівняльний</w:t>
      </w: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аналіз складу авіфауни лісових насаджень на території комплексної пам’ятки природи місцевого значення «Немирівське городище», що розташована на території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Великобушинської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Рачківської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Зарудинецької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рад Немирівського району Вінницької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06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дендрофільного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біотопічного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угруповання орнітофауни регіонального ландшафтного парку «Дністер», що розташований на території Могилів-Подільського району Вінницької області.</w:t>
      </w:r>
    </w:p>
    <w:p w14:paraId="10B44ECD" w14:textId="77777777" w:rsidR="00EE3EC5" w:rsidRPr="004F6AFE" w:rsidRDefault="00EE3EC5" w:rsidP="00EE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31384389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З наукової точки зору, представлена робота є актуальною, оскільки дослідження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орнітонаселення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зазначеної вище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bookmarkEnd w:id="3"/>
      <w:r w:rsidRPr="004F6AF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стосуються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лише</w:t>
      </w:r>
      <w:r w:rsidRPr="00D613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76FB">
        <w:rPr>
          <w:rFonts w:ascii="Times New Roman" w:hAnsi="Times New Roman"/>
          <w:sz w:val="28"/>
          <w:szCs w:val="28"/>
          <w:lang w:val="uk-UA"/>
        </w:rPr>
        <w:t>лише</w:t>
      </w:r>
      <w:proofErr w:type="spellEnd"/>
      <w:r w:rsidRPr="00CB76FB">
        <w:rPr>
          <w:rFonts w:ascii="Times New Roman" w:hAnsi="Times New Roman"/>
          <w:sz w:val="28"/>
          <w:szCs w:val="28"/>
          <w:lang w:val="uk-UA"/>
        </w:rPr>
        <w:t xml:space="preserve"> деяких систематичних груп </w:t>
      </w:r>
      <w:r>
        <w:rPr>
          <w:rFonts w:ascii="Times New Roman" w:hAnsi="Times New Roman"/>
          <w:sz w:val="28"/>
          <w:szCs w:val="28"/>
          <w:lang w:val="uk-UA"/>
        </w:rPr>
        <w:t>пернатих</w:t>
      </w:r>
      <w:r w:rsidRPr="00CB76FB">
        <w:rPr>
          <w:rFonts w:ascii="Times New Roman" w:hAnsi="Times New Roman"/>
          <w:sz w:val="28"/>
          <w:szCs w:val="28"/>
          <w:lang w:val="uk-UA"/>
        </w:rPr>
        <w:t xml:space="preserve">, або </w:t>
      </w:r>
      <w:r>
        <w:rPr>
          <w:rFonts w:ascii="Times New Roman" w:hAnsi="Times New Roman"/>
          <w:sz w:val="28"/>
          <w:szCs w:val="28"/>
          <w:lang w:val="uk-UA"/>
        </w:rPr>
        <w:t xml:space="preserve">птахів </w:t>
      </w:r>
      <w:r w:rsidRPr="00CB76FB">
        <w:rPr>
          <w:rFonts w:ascii="Times New Roman" w:hAnsi="Times New Roman"/>
          <w:sz w:val="28"/>
          <w:szCs w:val="28"/>
          <w:lang w:val="uk-UA"/>
        </w:rPr>
        <w:t>окремих територій у її межах.</w:t>
      </w: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F6AFE">
        <w:rPr>
          <w:rFonts w:ascii="Times New Roman" w:hAnsi="Times New Roman" w:cs="Times New Roman"/>
          <w:sz w:val="28"/>
          <w:szCs w:val="28"/>
          <w:lang w:val="uk-UA"/>
        </w:rPr>
        <w:t>, що містили б в собі інформацію про стан вивченості фауни птахів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досліджень автором не знайдено.</w:t>
      </w:r>
    </w:p>
    <w:p w14:paraId="703FBBE0" w14:textId="77777777" w:rsidR="00EE3EC5" w:rsidRPr="004F6AFE" w:rsidRDefault="00EE3EC5" w:rsidP="00EE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>Дані отримані в ході досліджень, після їх публікації, будуть направлені безпосередньо до Департаменту агропромислового розвитку, екології та природних ресурсів Вінницької обласної державної адміністрації, згідно домовленості з працівниками урядової установи.</w:t>
      </w:r>
    </w:p>
    <w:p w14:paraId="5817836C" w14:textId="77777777" w:rsidR="00EE3EC5" w:rsidRDefault="00EE3EC5" w:rsidP="00EE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</w:t>
      </w: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фауністичного складу птахів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дендрофільного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топічного угрупування на території комплексної пам’ятки природи місцевого значення «Немирівське городище»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регіонального ландшафтного парку «Дністер» </w:t>
      </w:r>
      <w:r w:rsidRPr="004F6AFE">
        <w:rPr>
          <w:rFonts w:ascii="Times New Roman" w:hAnsi="Times New Roman" w:cs="Times New Roman"/>
          <w:sz w:val="28"/>
          <w:szCs w:val="28"/>
          <w:lang w:val="uk-UA"/>
        </w:rPr>
        <w:t>, з метою поповнення банку даних про орнітофауну області, та аналіз взаємозв’язків цієї групи з іншими видами птахів на даній території.</w:t>
      </w:r>
    </w:p>
    <w:p w14:paraId="1919BA9A" w14:textId="77777777" w:rsidR="00EE3EC5" w:rsidRPr="004F6AFE" w:rsidRDefault="00EE3EC5" w:rsidP="00EE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досягнення поставленої мети було окреслено ряд завдань, а саме:</w:t>
      </w:r>
    </w:p>
    <w:p w14:paraId="0B185CCC" w14:textId="77777777" w:rsidR="00EE3EC5" w:rsidRPr="004F6AFE" w:rsidRDefault="00EE3EC5" w:rsidP="00EE3EC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F6AFE">
        <w:rPr>
          <w:sz w:val="28"/>
          <w:szCs w:val="28"/>
          <w:lang w:val="uk-UA"/>
        </w:rPr>
        <w:t>Створення реєстру видового різноманіття орнітофауни лісонасаджень об’є</w:t>
      </w:r>
      <w:r>
        <w:rPr>
          <w:sz w:val="28"/>
          <w:szCs w:val="28"/>
          <w:lang w:val="uk-UA"/>
        </w:rPr>
        <w:t>ктів</w:t>
      </w:r>
      <w:r w:rsidRPr="004F6AFE">
        <w:rPr>
          <w:sz w:val="28"/>
          <w:szCs w:val="28"/>
          <w:lang w:val="uk-UA"/>
        </w:rPr>
        <w:t xml:space="preserve"> досліджень та прилеглих територій.</w:t>
      </w:r>
    </w:p>
    <w:p w14:paraId="40ACB016" w14:textId="77777777" w:rsidR="00EE3EC5" w:rsidRPr="004F6AFE" w:rsidRDefault="00EE3EC5" w:rsidP="00EE3EC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F6AFE">
        <w:rPr>
          <w:sz w:val="28"/>
          <w:szCs w:val="28"/>
          <w:lang w:val="uk-UA"/>
        </w:rPr>
        <w:t>Проведення еколого-фауністичного аналізу авіфауни лісонасаджень об’єкт</w:t>
      </w:r>
      <w:r>
        <w:rPr>
          <w:sz w:val="28"/>
          <w:szCs w:val="28"/>
          <w:lang w:val="uk-UA"/>
        </w:rPr>
        <w:t>ів</w:t>
      </w:r>
      <w:r w:rsidRPr="004F6AFE">
        <w:rPr>
          <w:sz w:val="28"/>
          <w:szCs w:val="28"/>
          <w:lang w:val="uk-UA"/>
        </w:rPr>
        <w:t xml:space="preserve"> на основі матеріалів роботи та наявних </w:t>
      </w:r>
      <w:proofErr w:type="spellStart"/>
      <w:r w:rsidRPr="004F6AFE">
        <w:rPr>
          <w:sz w:val="28"/>
          <w:szCs w:val="28"/>
          <w:lang w:val="uk-UA"/>
        </w:rPr>
        <w:t>методик</w:t>
      </w:r>
      <w:proofErr w:type="spellEnd"/>
      <w:r w:rsidRPr="004F6AFE">
        <w:rPr>
          <w:sz w:val="28"/>
          <w:szCs w:val="28"/>
          <w:lang w:val="uk-UA"/>
        </w:rPr>
        <w:t xml:space="preserve"> [6, 7,9, 10, 15-19, 21].</w:t>
      </w:r>
    </w:p>
    <w:p w14:paraId="3BEC1BC0" w14:textId="77777777" w:rsidR="00EE3EC5" w:rsidRPr="004F6AFE" w:rsidRDefault="00EE3EC5" w:rsidP="00EE3EC5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F6AFE">
        <w:rPr>
          <w:sz w:val="28"/>
          <w:szCs w:val="28"/>
          <w:lang w:val="uk-UA"/>
        </w:rPr>
        <w:t xml:space="preserve">Визначення шляхів формування </w:t>
      </w:r>
      <w:proofErr w:type="spellStart"/>
      <w:r w:rsidRPr="004F6AFE">
        <w:rPr>
          <w:sz w:val="28"/>
          <w:szCs w:val="28"/>
          <w:lang w:val="uk-UA"/>
        </w:rPr>
        <w:t>нагніздної</w:t>
      </w:r>
      <w:proofErr w:type="spellEnd"/>
      <w:r w:rsidRPr="004F6AFE">
        <w:rPr>
          <w:sz w:val="28"/>
          <w:szCs w:val="28"/>
          <w:lang w:val="uk-UA"/>
        </w:rPr>
        <w:t xml:space="preserve"> та міграційної фауни птахів </w:t>
      </w:r>
      <w:proofErr w:type="spellStart"/>
      <w:r w:rsidRPr="004F6AFE">
        <w:rPr>
          <w:sz w:val="28"/>
          <w:szCs w:val="28"/>
          <w:lang w:val="uk-UA"/>
        </w:rPr>
        <w:t>дендрофільного</w:t>
      </w:r>
      <w:proofErr w:type="spellEnd"/>
      <w:r w:rsidRPr="004F6AFE">
        <w:rPr>
          <w:sz w:val="28"/>
          <w:szCs w:val="28"/>
          <w:lang w:val="uk-UA"/>
        </w:rPr>
        <w:t xml:space="preserve"> топічного угрупування на території досліджень, згідно отриманих даних, та доступної методології [25].</w:t>
      </w:r>
    </w:p>
    <w:p w14:paraId="6BF173D5" w14:textId="77777777" w:rsidR="00EE3EC5" w:rsidRPr="004F6AFE" w:rsidRDefault="00EE3EC5" w:rsidP="00EE3EC5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F6AFE">
        <w:rPr>
          <w:sz w:val="28"/>
          <w:szCs w:val="28"/>
          <w:lang w:val="uk-UA"/>
        </w:rPr>
        <w:t>Проведення аналізу видового складу птахів лісонасаджень за основними охоронними категоріями, з метою виявлення червонокнижних та регіонально рідкісних видів [1].</w:t>
      </w:r>
    </w:p>
    <w:p w14:paraId="28F59F7A" w14:textId="77777777" w:rsidR="00EE3EC5" w:rsidRPr="004F6AFE" w:rsidRDefault="00EE3EC5" w:rsidP="00EE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>Предметом дослідження є комплексної пам’ятки природи місцевого значення «Немирівське городище»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регіональний ландшафтний парк «Дністер»</w:t>
      </w:r>
      <w:r w:rsidRPr="004F6A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F3D0C7" w14:textId="77777777" w:rsidR="00EE3EC5" w:rsidRPr="004F6AFE" w:rsidRDefault="00EE3EC5" w:rsidP="00EE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Об’єктом дослідження є </w:t>
      </w:r>
      <w:r>
        <w:rPr>
          <w:rFonts w:ascii="Times New Roman" w:hAnsi="Times New Roman" w:cs="Times New Roman"/>
          <w:sz w:val="28"/>
          <w:szCs w:val="28"/>
          <w:lang w:val="uk-UA"/>
        </w:rPr>
        <w:t>орнітофауна</w:t>
      </w: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даної території, що відноситься до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дендрофільного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топічного угрупування.</w:t>
      </w:r>
    </w:p>
    <w:p w14:paraId="319D4ABF" w14:textId="77777777" w:rsidR="00EE3EC5" w:rsidRPr="004F6AFE" w:rsidRDefault="00EE3EC5" w:rsidP="00EE3EC5">
      <w:pPr>
        <w:pStyle w:val="docdata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F6AFE">
        <w:rPr>
          <w:sz w:val="28"/>
          <w:szCs w:val="28"/>
          <w:lang w:val="uk-UA"/>
        </w:rPr>
        <w:t>Під час проведення досліджень використовувалися методи кількісних маршрутних обліків. Для видового визначення птахів використовувалися визначники, оптичні прилади та фонограми, за умов доцільності. Для аналізу отриманих даних використовувалися загальноприйняті методики.</w:t>
      </w:r>
    </w:p>
    <w:p w14:paraId="7A493CF4" w14:textId="77777777" w:rsidR="00EE3EC5" w:rsidRPr="004F6AFE" w:rsidRDefault="00EE3EC5" w:rsidP="00EE3E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6B445FD" w14:textId="77777777" w:rsidR="00EE3EC5" w:rsidRPr="004F6AFE" w:rsidRDefault="00EE3EC5" w:rsidP="00EE3EC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val="uk-UA"/>
        </w:rPr>
      </w:pPr>
      <w:bookmarkStart w:id="4" w:name="_Toc511629801"/>
      <w:bookmarkStart w:id="5" w:name="_Toc31302009"/>
      <w:r w:rsidRPr="004F6AFE">
        <w:rPr>
          <w:rFonts w:ascii="Times New Roman" w:hAnsi="Times New Roman" w:cs="Times New Roman"/>
          <w:color w:val="auto"/>
          <w:lang w:val="uk-UA"/>
        </w:rPr>
        <w:lastRenderedPageBreak/>
        <w:t>РОЗДІЛ 1</w:t>
      </w:r>
      <w:bookmarkEnd w:id="4"/>
      <w:r w:rsidRPr="004F6AFE">
        <w:rPr>
          <w:rFonts w:ascii="Times New Roman" w:hAnsi="Times New Roman" w:cs="Times New Roman"/>
          <w:color w:val="auto"/>
          <w:lang w:val="uk-UA"/>
        </w:rPr>
        <w:t xml:space="preserve"> ФІЗИКО-ГЕОГРАФІЧНИЙ ОГЛЯД ТЕРИТОРІЇ ДОСЛІДЖЕНЬ</w:t>
      </w:r>
      <w:bookmarkEnd w:id="5"/>
    </w:p>
    <w:p w14:paraId="2CEDE3BC" w14:textId="77777777" w:rsidR="00EE3EC5" w:rsidRPr="004F6AFE" w:rsidRDefault="00EE3EC5" w:rsidP="00EE3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46818F" w14:textId="77777777" w:rsidR="00EE3EC5" w:rsidRPr="004F6AFE" w:rsidRDefault="00EE3EC5" w:rsidP="00EE3EC5">
      <w:pPr>
        <w:pStyle w:val="a6"/>
        <w:spacing w:after="0" w:line="36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</w:t>
      </w:r>
    </w:p>
    <w:p w14:paraId="54E511C1" w14:textId="77777777" w:rsidR="00EE3EC5" w:rsidRPr="004F6AFE" w:rsidRDefault="00EE3EC5" w:rsidP="00EE3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>За фізико-географічним районуванням України, територія комплексної пам'ятки природи</w:t>
      </w:r>
      <w:r w:rsidRPr="00411658">
        <w:rPr>
          <w:rFonts w:ascii="Times New Roman" w:hAnsi="Times New Roman" w:cs="Times New Roman"/>
          <w:sz w:val="28"/>
          <w:szCs w:val="28"/>
          <w:lang w:val="uk-UA"/>
        </w:rPr>
        <w:t xml:space="preserve"> «Немир</w:t>
      </w:r>
      <w:r>
        <w:rPr>
          <w:rFonts w:ascii="Times New Roman" w:hAnsi="Times New Roman" w:cs="Times New Roman"/>
          <w:sz w:val="28"/>
          <w:szCs w:val="28"/>
          <w:lang w:val="uk-UA"/>
        </w:rPr>
        <w:t>івське городище»</w:t>
      </w: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до Центрального району Північної лісостепової області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Придніпровсько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>-Приазовської височини.</w:t>
      </w:r>
    </w:p>
    <w:p w14:paraId="72E70BE7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>Географічні координати об’єкта – 48°56′44″ пн. ш. 28°53′11″ 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сх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>. д., площа становить 221 га</w:t>
      </w:r>
      <w:r w:rsidRPr="00411658">
        <w:rPr>
          <w:rFonts w:ascii="Times New Roman" w:hAnsi="Times New Roman" w:cs="Times New Roman"/>
          <w:sz w:val="28"/>
          <w:szCs w:val="28"/>
        </w:rPr>
        <w:t>.</w:t>
      </w:r>
    </w:p>
    <w:p w14:paraId="24C08140" w14:textId="77777777" w:rsidR="00EE3EC5" w:rsidRPr="00411658" w:rsidRDefault="00EE3EC5" w:rsidP="00EE3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658">
        <w:rPr>
          <w:rFonts w:ascii="Times New Roman" w:hAnsi="Times New Roman" w:cs="Times New Roman"/>
          <w:sz w:val="28"/>
          <w:szCs w:val="28"/>
          <w:lang w:val="uk-UA"/>
        </w:rPr>
        <w:t xml:space="preserve">Територія регіонального ландшафтного парку «Дністер» входить до геоморфологічного району Могилів-Подільського Придністров’я і приурочена до північно-західної </w:t>
      </w:r>
      <w:proofErr w:type="spellStart"/>
      <w:r w:rsidRPr="00411658">
        <w:rPr>
          <w:rFonts w:ascii="Times New Roman" w:hAnsi="Times New Roman" w:cs="Times New Roman"/>
          <w:sz w:val="28"/>
          <w:szCs w:val="28"/>
          <w:lang w:val="uk-UA"/>
        </w:rPr>
        <w:t>схилової</w:t>
      </w:r>
      <w:proofErr w:type="spellEnd"/>
      <w:r w:rsidRPr="00411658">
        <w:rPr>
          <w:rFonts w:ascii="Times New Roman" w:hAnsi="Times New Roman" w:cs="Times New Roman"/>
          <w:sz w:val="28"/>
          <w:szCs w:val="28"/>
          <w:lang w:val="uk-UA"/>
        </w:rPr>
        <w:t xml:space="preserve"> частини його підрайону – Дністровських </w:t>
      </w:r>
      <w:proofErr w:type="spellStart"/>
      <w:r w:rsidRPr="00411658">
        <w:rPr>
          <w:rFonts w:ascii="Times New Roman" w:hAnsi="Times New Roman" w:cs="Times New Roman"/>
          <w:sz w:val="28"/>
          <w:szCs w:val="28"/>
          <w:lang w:val="uk-UA"/>
        </w:rPr>
        <w:t>каньйонних</w:t>
      </w:r>
      <w:proofErr w:type="spellEnd"/>
      <w:r w:rsidRPr="00411658">
        <w:rPr>
          <w:rFonts w:ascii="Times New Roman" w:hAnsi="Times New Roman" w:cs="Times New Roman"/>
          <w:sz w:val="28"/>
          <w:szCs w:val="28"/>
          <w:lang w:val="uk-UA"/>
        </w:rPr>
        <w:t xml:space="preserve"> терас, що густо розчленований лівобережними притоками меридіонального напрямку – річками </w:t>
      </w:r>
      <w:proofErr w:type="spellStart"/>
      <w:r w:rsidRPr="00411658">
        <w:rPr>
          <w:rFonts w:ascii="Times New Roman" w:hAnsi="Times New Roman" w:cs="Times New Roman"/>
          <w:sz w:val="28"/>
          <w:szCs w:val="28"/>
          <w:lang w:val="uk-UA"/>
        </w:rPr>
        <w:t>Матерка</w:t>
      </w:r>
      <w:proofErr w:type="spellEnd"/>
      <w:r w:rsidRPr="00411658">
        <w:rPr>
          <w:rFonts w:ascii="Times New Roman" w:hAnsi="Times New Roman" w:cs="Times New Roman"/>
          <w:sz w:val="28"/>
          <w:szCs w:val="28"/>
          <w:lang w:val="uk-UA"/>
        </w:rPr>
        <w:t xml:space="preserve">, Калюс, Батіг, </w:t>
      </w:r>
      <w:proofErr w:type="spellStart"/>
      <w:r w:rsidRPr="00411658">
        <w:rPr>
          <w:rFonts w:ascii="Times New Roman" w:hAnsi="Times New Roman" w:cs="Times New Roman"/>
          <w:sz w:val="28"/>
          <w:szCs w:val="28"/>
          <w:lang w:val="uk-UA"/>
        </w:rPr>
        <w:t>Жван</w:t>
      </w:r>
      <w:proofErr w:type="spellEnd"/>
      <w:r w:rsidRPr="004116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11658">
        <w:rPr>
          <w:rFonts w:ascii="Times New Roman" w:hAnsi="Times New Roman" w:cs="Times New Roman"/>
          <w:sz w:val="28"/>
          <w:szCs w:val="28"/>
          <w:lang w:val="uk-UA"/>
        </w:rPr>
        <w:t>Караєць</w:t>
      </w:r>
      <w:proofErr w:type="spellEnd"/>
      <w:r w:rsidRPr="00411658">
        <w:rPr>
          <w:rFonts w:ascii="Times New Roman" w:hAnsi="Times New Roman" w:cs="Times New Roman"/>
          <w:sz w:val="28"/>
          <w:szCs w:val="28"/>
          <w:lang w:val="uk-UA"/>
        </w:rPr>
        <w:t xml:space="preserve">, Лядова, Серебрія, </w:t>
      </w:r>
      <w:proofErr w:type="spellStart"/>
      <w:r w:rsidRPr="00411658">
        <w:rPr>
          <w:rFonts w:ascii="Times New Roman" w:hAnsi="Times New Roman" w:cs="Times New Roman"/>
          <w:sz w:val="28"/>
          <w:szCs w:val="28"/>
          <w:lang w:val="uk-UA"/>
        </w:rPr>
        <w:t>Немія</w:t>
      </w:r>
      <w:proofErr w:type="spellEnd"/>
      <w:r w:rsidRPr="00411658">
        <w:rPr>
          <w:rFonts w:ascii="Times New Roman" w:hAnsi="Times New Roman" w:cs="Times New Roman"/>
          <w:sz w:val="28"/>
          <w:szCs w:val="28"/>
          <w:lang w:val="uk-UA"/>
        </w:rPr>
        <w:t xml:space="preserve"> та їх невеликими притоки. Район Дністровських </w:t>
      </w:r>
      <w:proofErr w:type="spellStart"/>
      <w:r w:rsidRPr="00411658">
        <w:rPr>
          <w:rFonts w:ascii="Times New Roman" w:hAnsi="Times New Roman" w:cs="Times New Roman"/>
          <w:sz w:val="28"/>
          <w:szCs w:val="28"/>
          <w:lang w:val="uk-UA"/>
        </w:rPr>
        <w:t>каньйонних</w:t>
      </w:r>
      <w:proofErr w:type="spellEnd"/>
      <w:r w:rsidRPr="00411658">
        <w:rPr>
          <w:rFonts w:ascii="Times New Roman" w:hAnsi="Times New Roman" w:cs="Times New Roman"/>
          <w:sz w:val="28"/>
          <w:szCs w:val="28"/>
          <w:lang w:val="uk-UA"/>
        </w:rPr>
        <w:t xml:space="preserve"> терас тягнеться смугою шириною до 30 км з північного заходу на південний схід. Абсолютні висоти поверхні знижуються в бік Дністра від 280 – 300 м до 120 – 150 м, а глибина </w:t>
      </w:r>
      <w:proofErr w:type="spellStart"/>
      <w:r w:rsidRPr="00411658">
        <w:rPr>
          <w:rFonts w:ascii="Times New Roman" w:hAnsi="Times New Roman" w:cs="Times New Roman"/>
          <w:sz w:val="28"/>
          <w:szCs w:val="28"/>
          <w:lang w:val="uk-UA"/>
        </w:rPr>
        <w:t>врізу</w:t>
      </w:r>
      <w:proofErr w:type="spellEnd"/>
      <w:r w:rsidRPr="00411658">
        <w:rPr>
          <w:rFonts w:ascii="Times New Roman" w:hAnsi="Times New Roman" w:cs="Times New Roman"/>
          <w:sz w:val="28"/>
          <w:szCs w:val="28"/>
          <w:lang w:val="uk-UA"/>
        </w:rPr>
        <w:t xml:space="preserve"> річкових долин сягає від 60 до 180 м. Завдяки цьому, в структурі ландшафтів характерне поєднання різних типів вододільних і прирічкових (долинних) місцевостей, які дренується численними притоками Дністра.</w:t>
      </w:r>
    </w:p>
    <w:p w14:paraId="082B301F" w14:textId="77777777" w:rsidR="00EE3EC5" w:rsidRPr="004F6AFE" w:rsidRDefault="00EE3EC5" w:rsidP="00EE3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За геоботанічним районуванням України [3], територія належить до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Вінницько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-Немирівського підрайону геоботанічного округу дубово-соснових лісів Північної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підпровінції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Правобережної провінції Європейської широколистяної області. </w:t>
      </w:r>
    </w:p>
    <w:p w14:paraId="7BE1CDC1" w14:textId="77777777" w:rsidR="00EE3EC5" w:rsidRPr="004F6AFE" w:rsidRDefault="00EE3EC5" w:rsidP="00EE3EC5">
      <w:pPr>
        <w:pStyle w:val="2"/>
        <w:numPr>
          <w:ilvl w:val="1"/>
          <w:numId w:val="2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6" w:name="_Toc31302010"/>
      <w:r w:rsidRPr="004F6AFE">
        <w:rPr>
          <w:rFonts w:ascii="Times New Roman" w:hAnsi="Times New Roman" w:cs="Times New Roman"/>
          <w:color w:val="auto"/>
          <w:sz w:val="28"/>
          <w:szCs w:val="28"/>
          <w:lang w:val="uk-UA"/>
        </w:rPr>
        <w:t>Геологічна будова</w:t>
      </w:r>
      <w:bookmarkEnd w:id="6"/>
    </w:p>
    <w:p w14:paraId="209F63AB" w14:textId="77777777" w:rsidR="00EE3EC5" w:rsidRPr="004F6AFE" w:rsidRDefault="00EE3EC5" w:rsidP="00EE3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У геологічному відношенні територія відноситься до фундаменту Українського кристалічного щита, що представлений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ранньопротерозойською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складчастістю: гранітів та гнейсів та областю архейської складчастості. </w:t>
      </w:r>
      <w:r w:rsidRPr="004F6AFE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Осадові відклади, що перекривають кристалічний фундамент, приурочені до неогенової системи і складені сіро-зеленими місцями жовтими глинами. [27]</w:t>
      </w:r>
    </w:p>
    <w:p w14:paraId="1DBF6905" w14:textId="77777777" w:rsidR="00EE3EC5" w:rsidRPr="004F6AFE" w:rsidRDefault="00EE3EC5" w:rsidP="00EE3EC5">
      <w:pPr>
        <w:pStyle w:val="2"/>
        <w:numPr>
          <w:ilvl w:val="1"/>
          <w:numId w:val="2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7" w:name="_Toc31302011"/>
      <w:r w:rsidRPr="004F6AFE">
        <w:rPr>
          <w:rFonts w:ascii="Times New Roman" w:hAnsi="Times New Roman" w:cs="Times New Roman"/>
          <w:color w:val="auto"/>
          <w:sz w:val="28"/>
          <w:szCs w:val="28"/>
          <w:lang w:val="uk-UA"/>
        </w:rPr>
        <w:t>Рельєф</w:t>
      </w:r>
      <w:bookmarkEnd w:id="7"/>
    </w:p>
    <w:p w14:paraId="532CACBF" w14:textId="77777777" w:rsidR="00EE3EC5" w:rsidRPr="004F6AFE" w:rsidRDefault="00EE3EC5" w:rsidP="00EE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Територія Немирівського городища відноситься до лісопольового типу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белігеративних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ландшафтів. Їх сучасне функціонування на фоні сільськогосподарських (переважно польових і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лучно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-пасовищних), у меншій мірі лісових та, частково,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селитебних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ландшафтів, суттєво не змінює їх внутрішньої структури, однак впливає на процеси, що формують їх сучасний стан та зовнішній вигляд, а інколи призводять до знищення. Так, серед польових ландшафтів укріплені городища, кургани й вали більше зазнають впливу зональних кліматичних чинників, чинників, пов’язаних з веденням польових робіт і, навіть, розташування у межах поля або пасовища.</w:t>
      </w:r>
    </w:p>
    <w:p w14:paraId="73EC039C" w14:textId="77777777" w:rsidR="00EE3EC5" w:rsidRPr="004F6AFE" w:rsidRDefault="00EE3EC5" w:rsidP="00EE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>Частина території городища (приблизно 15%) використовується у сільському господарстві. Там проводяться меліоративні роботи з осушення та розорювання полів для засіву сільськогосподарськими культурами.</w:t>
      </w:r>
    </w:p>
    <w:p w14:paraId="40536AE9" w14:textId="77777777" w:rsidR="00EE3EC5" w:rsidRDefault="00EE3EC5" w:rsidP="00EE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Більша частина території досліджень – це луки та поля (рис. 1.1). Рослинний покрив і тваринний світ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белігеративних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ландшафтних комплексів – це суміш минулого зонального різнотрав’я та сучасних бур’янових асоціацій полів та лук. Для об’єкта характерні хвилясті лесові рівнини з фрагментами дубово-грабовими лісами на переважно світло-сірих опідзолених ґрунтах, тобто з геоморфологічної точки зору описувана територія являє собою Вінницьку хвилясту рівнину. [27]</w:t>
      </w:r>
    </w:p>
    <w:p w14:paraId="5B395492" w14:textId="77777777" w:rsidR="00EE3EC5" w:rsidRPr="00411658" w:rsidRDefault="00EE3EC5" w:rsidP="00EE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658">
        <w:rPr>
          <w:rFonts w:ascii="Times New Roman" w:hAnsi="Times New Roman" w:cs="Times New Roman"/>
          <w:sz w:val="28"/>
          <w:szCs w:val="28"/>
          <w:lang w:val="uk-UA"/>
        </w:rPr>
        <w:t xml:space="preserve">Характер геоморфологічної будови регіонального ландшафтного парку «Дністер» обумовив різноманітне сільськогосподарське використання земель, при якому рівнинні землі вододілів і переважна більшість </w:t>
      </w:r>
      <w:proofErr w:type="spellStart"/>
      <w:r w:rsidRPr="00411658">
        <w:rPr>
          <w:rFonts w:ascii="Times New Roman" w:hAnsi="Times New Roman" w:cs="Times New Roman"/>
          <w:sz w:val="28"/>
          <w:szCs w:val="28"/>
          <w:lang w:val="uk-UA"/>
        </w:rPr>
        <w:t>схилових</w:t>
      </w:r>
      <w:proofErr w:type="spellEnd"/>
      <w:r w:rsidRPr="00411658">
        <w:rPr>
          <w:rFonts w:ascii="Times New Roman" w:hAnsi="Times New Roman" w:cs="Times New Roman"/>
          <w:sz w:val="28"/>
          <w:szCs w:val="28"/>
          <w:lang w:val="uk-UA"/>
        </w:rPr>
        <w:t xml:space="preserve"> земель використовуються як орні землі. Пасовища та вигони розміщені, як правило, на малородючих змитих ґрунтах крутих схилів. Окремі ділянки з найбільш еродованими </w:t>
      </w:r>
      <w:proofErr w:type="spellStart"/>
      <w:r w:rsidRPr="00411658">
        <w:rPr>
          <w:rFonts w:ascii="Times New Roman" w:hAnsi="Times New Roman" w:cs="Times New Roman"/>
          <w:sz w:val="28"/>
          <w:szCs w:val="28"/>
          <w:lang w:val="uk-UA"/>
        </w:rPr>
        <w:t>грунтами</w:t>
      </w:r>
      <w:proofErr w:type="spellEnd"/>
      <w:r w:rsidRPr="00411658">
        <w:rPr>
          <w:rFonts w:ascii="Times New Roman" w:hAnsi="Times New Roman" w:cs="Times New Roman"/>
          <w:sz w:val="28"/>
          <w:szCs w:val="28"/>
          <w:lang w:val="uk-UA"/>
        </w:rPr>
        <w:t xml:space="preserve">, де механізований обробіток неможливий, використовуються під випас худоби, часткове залуження й заліснення. Лише 8 % території знаходиться під природною рослинністю, переважно на схилах </w:t>
      </w:r>
      <w:r w:rsidRPr="00411658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балок. Розораність території сягає 60-65 %. В ландшафтах проектованого парку поширені сильно-хвилясті і схилові типи місцевості. Схилові землі займають тут 50-60 % території.</w:t>
      </w:r>
      <w:bookmarkStart w:id="8" w:name="_Toc501348723"/>
      <w:bookmarkStart w:id="9" w:name="_Toc515310372"/>
    </w:p>
    <w:bookmarkEnd w:id="8"/>
    <w:bookmarkEnd w:id="9"/>
    <w:p w14:paraId="416E3C68" w14:textId="77777777" w:rsidR="00EE3EC5" w:rsidRDefault="00EE3EC5" w:rsidP="00EE3EC5">
      <w:pPr>
        <w:pStyle w:val="1"/>
        <w:spacing w:before="0" w:line="360" w:lineRule="auto"/>
        <w:rPr>
          <w:rFonts w:ascii="Times New Roman" w:hAnsi="Times New Roman" w:cs="Times New Roman"/>
          <w:b/>
          <w:bCs/>
          <w:iCs/>
          <w:color w:val="auto"/>
          <w:lang w:val="uk-UA"/>
        </w:rPr>
      </w:pPr>
    </w:p>
    <w:p w14:paraId="3D1033AE" w14:textId="77777777" w:rsidR="00EE3EC5" w:rsidRDefault="00EE3EC5" w:rsidP="00EE3EC5">
      <w:pPr>
        <w:rPr>
          <w:lang w:val="uk-UA"/>
        </w:rPr>
      </w:pPr>
    </w:p>
    <w:p w14:paraId="319B6225" w14:textId="77777777" w:rsidR="00EE3EC5" w:rsidRDefault="00EE3EC5" w:rsidP="00EE3EC5">
      <w:pPr>
        <w:rPr>
          <w:lang w:val="uk-UA"/>
        </w:rPr>
      </w:pPr>
    </w:p>
    <w:p w14:paraId="3110E74E" w14:textId="77777777" w:rsidR="00EE3EC5" w:rsidRDefault="00EE3EC5" w:rsidP="00EE3EC5">
      <w:pPr>
        <w:rPr>
          <w:lang w:val="uk-UA"/>
        </w:rPr>
      </w:pPr>
    </w:p>
    <w:p w14:paraId="70866836" w14:textId="77777777" w:rsidR="00EE3EC5" w:rsidRDefault="00EE3EC5" w:rsidP="00EE3EC5">
      <w:pPr>
        <w:rPr>
          <w:lang w:val="uk-UA"/>
        </w:rPr>
      </w:pPr>
    </w:p>
    <w:p w14:paraId="6F58C764" w14:textId="77777777" w:rsidR="00EE3EC5" w:rsidRDefault="00EE3EC5" w:rsidP="00EE3EC5">
      <w:pPr>
        <w:rPr>
          <w:lang w:val="uk-UA"/>
        </w:rPr>
      </w:pPr>
    </w:p>
    <w:p w14:paraId="3BE63732" w14:textId="77777777" w:rsidR="00EE3EC5" w:rsidRDefault="00EE3EC5" w:rsidP="00EE3EC5">
      <w:pPr>
        <w:rPr>
          <w:lang w:val="uk-UA"/>
        </w:rPr>
      </w:pPr>
    </w:p>
    <w:p w14:paraId="09E05A5A" w14:textId="77777777" w:rsidR="00EE3EC5" w:rsidRDefault="00EE3EC5" w:rsidP="00EE3EC5">
      <w:pPr>
        <w:rPr>
          <w:lang w:val="uk-UA"/>
        </w:rPr>
      </w:pPr>
    </w:p>
    <w:p w14:paraId="7EF6D25C" w14:textId="77777777" w:rsidR="00EE3EC5" w:rsidRDefault="00EE3EC5" w:rsidP="00EE3EC5">
      <w:pPr>
        <w:rPr>
          <w:lang w:val="uk-UA"/>
        </w:rPr>
      </w:pPr>
    </w:p>
    <w:p w14:paraId="5DF0FEF1" w14:textId="77777777" w:rsidR="00EE3EC5" w:rsidRDefault="00EE3EC5" w:rsidP="00EE3EC5">
      <w:pPr>
        <w:rPr>
          <w:lang w:val="uk-UA"/>
        </w:rPr>
      </w:pPr>
    </w:p>
    <w:p w14:paraId="01715692" w14:textId="77777777" w:rsidR="00EE3EC5" w:rsidRDefault="00EE3EC5" w:rsidP="00EE3EC5">
      <w:pPr>
        <w:rPr>
          <w:lang w:val="uk-UA"/>
        </w:rPr>
      </w:pPr>
    </w:p>
    <w:p w14:paraId="7412CB8B" w14:textId="77777777" w:rsidR="00EE3EC5" w:rsidRDefault="00EE3EC5" w:rsidP="00EE3EC5">
      <w:pPr>
        <w:rPr>
          <w:lang w:val="uk-UA"/>
        </w:rPr>
      </w:pPr>
    </w:p>
    <w:p w14:paraId="10178FA8" w14:textId="77777777" w:rsidR="00EE3EC5" w:rsidRDefault="00EE3EC5" w:rsidP="00EE3EC5">
      <w:pPr>
        <w:rPr>
          <w:lang w:val="uk-UA"/>
        </w:rPr>
      </w:pPr>
    </w:p>
    <w:p w14:paraId="72EEDE4B" w14:textId="77777777" w:rsidR="00EE3EC5" w:rsidRDefault="00EE3EC5" w:rsidP="00EE3EC5">
      <w:pPr>
        <w:rPr>
          <w:lang w:val="uk-UA"/>
        </w:rPr>
      </w:pPr>
    </w:p>
    <w:p w14:paraId="50D2E146" w14:textId="77777777" w:rsidR="00EE3EC5" w:rsidRDefault="00EE3EC5" w:rsidP="00EE3EC5">
      <w:pPr>
        <w:rPr>
          <w:lang w:val="uk-UA"/>
        </w:rPr>
      </w:pPr>
    </w:p>
    <w:p w14:paraId="45192859" w14:textId="77777777" w:rsidR="00EE3EC5" w:rsidRDefault="00EE3EC5" w:rsidP="00EE3EC5">
      <w:pPr>
        <w:rPr>
          <w:lang w:val="uk-UA"/>
        </w:rPr>
      </w:pPr>
    </w:p>
    <w:p w14:paraId="712DCA14" w14:textId="77777777" w:rsidR="00EE3EC5" w:rsidRDefault="00EE3EC5" w:rsidP="00EE3EC5">
      <w:pPr>
        <w:rPr>
          <w:lang w:val="uk-UA"/>
        </w:rPr>
      </w:pPr>
    </w:p>
    <w:p w14:paraId="04AE42C0" w14:textId="77777777" w:rsidR="00EE3EC5" w:rsidRDefault="00EE3EC5" w:rsidP="00EE3EC5">
      <w:pPr>
        <w:rPr>
          <w:lang w:val="uk-UA"/>
        </w:rPr>
      </w:pPr>
    </w:p>
    <w:p w14:paraId="2C437F5E" w14:textId="77777777" w:rsidR="00EE3EC5" w:rsidRDefault="00EE3EC5" w:rsidP="00EE3EC5">
      <w:pPr>
        <w:rPr>
          <w:lang w:val="uk-UA"/>
        </w:rPr>
      </w:pPr>
    </w:p>
    <w:p w14:paraId="3479F4CB" w14:textId="77777777" w:rsidR="00EE3EC5" w:rsidRDefault="00EE3EC5" w:rsidP="00EE3EC5">
      <w:pPr>
        <w:rPr>
          <w:lang w:val="uk-UA"/>
        </w:rPr>
      </w:pPr>
    </w:p>
    <w:p w14:paraId="45B0D9B3" w14:textId="77777777" w:rsidR="00EE3EC5" w:rsidRDefault="00EE3EC5" w:rsidP="00EE3EC5">
      <w:pPr>
        <w:rPr>
          <w:lang w:val="uk-UA"/>
        </w:rPr>
      </w:pPr>
    </w:p>
    <w:p w14:paraId="2C9C8C95" w14:textId="77777777" w:rsidR="00EE3EC5" w:rsidRDefault="00EE3EC5" w:rsidP="00EE3EC5">
      <w:pPr>
        <w:rPr>
          <w:lang w:val="uk-UA"/>
        </w:rPr>
      </w:pPr>
    </w:p>
    <w:p w14:paraId="0CCA00D5" w14:textId="77777777" w:rsidR="00EE3EC5" w:rsidRDefault="00EE3EC5" w:rsidP="00EE3EC5">
      <w:pPr>
        <w:rPr>
          <w:lang w:val="uk-UA"/>
        </w:rPr>
      </w:pPr>
    </w:p>
    <w:p w14:paraId="3C8E908B" w14:textId="77777777" w:rsidR="00EE3EC5" w:rsidRDefault="00EE3EC5" w:rsidP="00EE3EC5">
      <w:pPr>
        <w:rPr>
          <w:lang w:val="uk-UA"/>
        </w:rPr>
      </w:pPr>
    </w:p>
    <w:p w14:paraId="444C01EF" w14:textId="77777777" w:rsidR="00EE3EC5" w:rsidRDefault="00EE3EC5" w:rsidP="00EE3EC5">
      <w:pPr>
        <w:rPr>
          <w:lang w:val="uk-UA"/>
        </w:rPr>
      </w:pPr>
    </w:p>
    <w:p w14:paraId="32F2F4B5" w14:textId="77777777" w:rsidR="00EE3EC5" w:rsidRDefault="00EE3EC5" w:rsidP="00EE3EC5">
      <w:pPr>
        <w:rPr>
          <w:lang w:val="uk-UA"/>
        </w:rPr>
      </w:pPr>
    </w:p>
    <w:p w14:paraId="2DA29727" w14:textId="77777777" w:rsidR="00EE3EC5" w:rsidRPr="004F6AFE" w:rsidRDefault="00EE3EC5" w:rsidP="00EE3EC5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uk-UA" w:bidi="en-US"/>
        </w:rPr>
      </w:pPr>
      <w:bookmarkStart w:id="10" w:name="_Toc31302012"/>
      <w:r w:rsidRPr="004F6AFE">
        <w:rPr>
          <w:rFonts w:ascii="Times New Roman" w:hAnsi="Times New Roman" w:cs="Times New Roman"/>
          <w:iCs/>
          <w:color w:val="auto"/>
          <w:lang w:val="uk-UA"/>
        </w:rPr>
        <w:t>РО</w:t>
      </w:r>
      <w:r w:rsidRPr="004F6AFE">
        <w:rPr>
          <w:rFonts w:ascii="Times New Roman" w:eastAsia="Times New Roman" w:hAnsi="Times New Roman" w:cs="Times New Roman"/>
          <w:color w:val="auto"/>
          <w:lang w:val="uk-UA" w:bidi="en-US"/>
        </w:rPr>
        <w:t xml:space="preserve">ЗДІЛ </w:t>
      </w:r>
      <w:r>
        <w:rPr>
          <w:rFonts w:ascii="Times New Roman" w:eastAsia="Times New Roman" w:hAnsi="Times New Roman" w:cs="Times New Roman"/>
          <w:color w:val="auto"/>
          <w:lang w:val="uk-UA" w:bidi="en-US"/>
        </w:rPr>
        <w:t>2</w:t>
      </w:r>
      <w:r w:rsidRPr="004F6AFE">
        <w:rPr>
          <w:rFonts w:ascii="Times New Roman" w:eastAsia="Times New Roman" w:hAnsi="Times New Roman" w:cs="Times New Roman"/>
          <w:color w:val="auto"/>
          <w:lang w:val="uk-UA" w:bidi="en-US"/>
        </w:rPr>
        <w:t xml:space="preserve"> МАТЕРІАЛИ ТА МЕТОДИКА ДОСЛІДЖЕНЬ</w:t>
      </w:r>
      <w:bookmarkEnd w:id="10"/>
    </w:p>
    <w:p w14:paraId="518D6D03" w14:textId="77777777" w:rsidR="00EE3EC5" w:rsidRPr="004F6AFE" w:rsidRDefault="00EE3EC5" w:rsidP="00EE3EC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</w:pPr>
    </w:p>
    <w:p w14:paraId="399BEE9F" w14:textId="77777777" w:rsidR="00EE3EC5" w:rsidRPr="004F6AFE" w:rsidRDefault="00EE3EC5" w:rsidP="00EE3EC5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  <w:bookmarkStart w:id="11" w:name="_Toc450591345"/>
      <w:bookmarkStart w:id="12" w:name="_Toc468742372"/>
      <w:bookmarkStart w:id="13" w:name="_Toc501348726"/>
      <w:bookmarkStart w:id="14" w:name="_Toc31302013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lastRenderedPageBreak/>
        <w:t>2</w:t>
      </w:r>
      <w:r w:rsidRPr="004F6AFE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.1 </w:t>
      </w:r>
      <w:bookmarkEnd w:id="11"/>
      <w:bookmarkEnd w:id="12"/>
      <w:r w:rsidRPr="004F6AFE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Збір та первинна обробка матеріалу</w:t>
      </w:r>
      <w:bookmarkEnd w:id="13"/>
      <w:bookmarkEnd w:id="14"/>
    </w:p>
    <w:p w14:paraId="2E1E1E22" w14:textId="77777777" w:rsidR="00EE3EC5" w:rsidRPr="004F6AFE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 матеріалу відбувався протягом 4 одноденних орнітологічних екскурсій, що мали місце навесні 2018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</w:t>
      </w:r>
      <w:r w:rsidRPr="00583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FE">
        <w:rPr>
          <w:rFonts w:ascii="Times New Roman" w:hAnsi="Times New Roman" w:cs="Times New Roman"/>
          <w:sz w:val="28"/>
          <w:szCs w:val="28"/>
          <w:lang w:val="uk-UA"/>
        </w:rPr>
        <w:t>комплексної пам’ятки природи місцевого значення «Немирівське городище»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протягом 2 дводенних орнітологічних екскурсій на території регіонального ландшафтного парку «Дністер» навесні 2019 р. .</w:t>
      </w:r>
    </w:p>
    <w:p w14:paraId="5476C60F" w14:textId="77777777" w:rsidR="00EE3EC5" w:rsidRPr="004F6AFE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якості оптичних приладів для спостереження віддалених предметів у збільшеному вигляді застосовувалися монокуляри моделей МП2 8×30, та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>Comet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16×52.</w:t>
      </w:r>
    </w:p>
    <w:p w14:paraId="6B9900C4" w14:textId="77777777" w:rsidR="00EE3EC5" w:rsidRPr="004F6AFE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визначення видів використовувалися всі наявні визначники 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[4, 5, 7, 8, 13, 24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>]. Крім того, для визначення видів у шлюбний період використовувалися загальнодоступні фонограми голосів птахів, за умови доцільності.</w:t>
      </w:r>
    </w:p>
    <w:p w14:paraId="67BF5ECE" w14:textId="77777777" w:rsidR="00EE3EC5" w:rsidRPr="004F6AFE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була проаналізована вся наявна література, що містить відомості про орнітофауну об’єкту [11-13].</w:t>
      </w:r>
    </w:p>
    <w:p w14:paraId="33A4EB90" w14:textId="77777777" w:rsidR="00EE3EC5" w:rsidRPr="004F6AFE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зазначення систематичних груп і назви видів латиною подані за Л.С. 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Стєпаняном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[22].</w:t>
      </w:r>
    </w:p>
    <w:p w14:paraId="58EDCE46" w14:textId="77777777" w:rsidR="00EE3EC5" w:rsidRPr="004F6AFE" w:rsidRDefault="00EE3EC5" w:rsidP="00EE3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Видові назви птахів українською мовою надано згідно анотованого списку українських наукових назв птахів фауни України [23].</w:t>
      </w:r>
    </w:p>
    <w:p w14:paraId="360F40E7" w14:textId="77777777" w:rsidR="00EE3EC5" w:rsidRPr="004F6AFE" w:rsidRDefault="00EE3EC5" w:rsidP="00EE3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Відношення видів птахів до певних екологічних груп вказувалась відповідно до класифікації В.П. 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>Бєліка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[3].</w:t>
      </w:r>
    </w:p>
    <w:p w14:paraId="02399FDC" w14:textId="77777777" w:rsidR="00EE3EC5" w:rsidRPr="004F6AFE" w:rsidRDefault="00EE3EC5" w:rsidP="00EE3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>Типування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місцями розташування гнізд надано за визначниками Р.Л. 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>Бьоме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>, А.А. Кузнєцова [4, 5].</w:t>
      </w:r>
    </w:p>
    <w:p w14:paraId="77B66866" w14:textId="77777777" w:rsidR="00EE3EC5" w:rsidRPr="004F6AFE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Розподіл птахів за певними типами ареалів наведено за Б.К. 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>Штегманом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[25].</w:t>
      </w:r>
    </w:p>
    <w:p w14:paraId="2BD01B14" w14:textId="77777777" w:rsidR="00EE3EC5" w:rsidRPr="004F6AFE" w:rsidRDefault="00EE3EC5" w:rsidP="00EE3E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69AB88C8" w14:textId="77777777" w:rsidR="00EE3EC5" w:rsidRPr="004F6AFE" w:rsidRDefault="00EE3EC5" w:rsidP="00EE3EC5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  <w:bookmarkStart w:id="15" w:name="_Toc501348727"/>
      <w:bookmarkStart w:id="16" w:name="_Toc31302014"/>
      <w:bookmarkStart w:id="17" w:name="_Toc450591346"/>
      <w:bookmarkStart w:id="18" w:name="_Toc468742373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lastRenderedPageBreak/>
        <w:t>2</w:t>
      </w:r>
      <w:r w:rsidRPr="004F6AFE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.2. Методологія проведення обліків орнітофауни</w:t>
      </w:r>
      <w:bookmarkEnd w:id="15"/>
      <w:bookmarkEnd w:id="16"/>
    </w:p>
    <w:p w14:paraId="74AB5B89" w14:textId="77777777" w:rsidR="00EE3EC5" w:rsidRPr="004F6AFE" w:rsidRDefault="00EE3EC5" w:rsidP="00EE3EC5">
      <w:pPr>
        <w:keepNext/>
        <w:keepLines/>
        <w:spacing w:after="0" w:line="360" w:lineRule="auto"/>
        <w:jc w:val="center"/>
        <w:outlineLvl w:val="2"/>
        <w:rPr>
          <w:rFonts w:ascii="Times New Roman" w:eastAsiaTheme="majorEastAsia" w:hAnsi="Times New Roman" w:cs="Times New Roman"/>
          <w:sz w:val="28"/>
          <w:szCs w:val="28"/>
          <w:u w:val="single"/>
          <w:lang w:val="uk-UA"/>
        </w:rPr>
      </w:pPr>
      <w:bookmarkStart w:id="19" w:name="_Toc501348728"/>
      <w:bookmarkStart w:id="20" w:name="_Toc31302015"/>
      <w:r>
        <w:rPr>
          <w:rFonts w:ascii="Times New Roman" w:eastAsiaTheme="majorEastAsia" w:hAnsi="Times New Roman" w:cs="Times New Roman"/>
          <w:bCs/>
          <w:sz w:val="28"/>
          <w:szCs w:val="28"/>
          <w:u w:val="single"/>
          <w:lang w:val="uk-UA"/>
        </w:rPr>
        <w:t>2</w:t>
      </w:r>
      <w:r w:rsidRPr="004F6AFE">
        <w:rPr>
          <w:rFonts w:ascii="Times New Roman" w:eastAsiaTheme="majorEastAsia" w:hAnsi="Times New Roman" w:cs="Times New Roman"/>
          <w:bCs/>
          <w:sz w:val="28"/>
          <w:szCs w:val="28"/>
          <w:u w:val="single"/>
          <w:lang w:val="uk-UA"/>
        </w:rPr>
        <w:t>.2.1 Маршрутний облік</w:t>
      </w:r>
      <w:bookmarkEnd w:id="17"/>
      <w:bookmarkEnd w:id="18"/>
      <w:bookmarkEnd w:id="19"/>
      <w:bookmarkEnd w:id="20"/>
    </w:p>
    <w:p w14:paraId="6CE392C6" w14:textId="77777777" w:rsidR="00EE3EC5" w:rsidRPr="004F6AFE" w:rsidRDefault="00EE3EC5" w:rsidP="00EE3EC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даній роботі використовувалась розповсюджена методика кількісного обліку птахів </w:t>
      </w:r>
      <w:r w:rsidRPr="004F6AFE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маршрутний облік. Він зводиться до того, що спостерігач рухається у заздалегідь обраному напрямку і підраховує всіх птахів у площі обліку, визначених за голосом або зовнішнім виглядом.</w:t>
      </w:r>
    </w:p>
    <w:p w14:paraId="7182A771" w14:textId="77777777" w:rsidR="00EE3EC5" w:rsidRPr="004F6AFE" w:rsidRDefault="00EE3EC5" w:rsidP="00EE3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Маршрути руху пролягали вздовж деревних насаджень. Протягом всього часу спостережень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трансекти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змінювались.</w:t>
      </w:r>
    </w:p>
    <w:p w14:paraId="3C5EA172" w14:textId="77777777" w:rsidR="00EE3EC5" w:rsidRDefault="00EE3EC5" w:rsidP="00EE3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Враховувались усі птахи, яких можна точно визначити за допомогою монокуляру. Для проведення обліку за заздалегідь підготовленим маршрутом використовувались записник, визначники, монокуляр і годинник. На початку обліку в блокнот заносились дата, погодні умови і час початку обліку. Рух здійснювався повільно і рівномірно із зупинками для більш ретельного огляду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>заростей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чагарників. Зустрінуті види фіксувались в записнику [6, 7,9, 10, 15-18, 20].</w:t>
      </w:r>
    </w:p>
    <w:p w14:paraId="156474F3" w14:textId="77777777" w:rsidR="00EE3EC5" w:rsidRDefault="00EE3EC5" w:rsidP="00EE3EC5">
      <w:pPr>
        <w:rPr>
          <w:lang w:val="uk-UA"/>
        </w:rPr>
      </w:pPr>
    </w:p>
    <w:p w14:paraId="49E73C48" w14:textId="77777777" w:rsidR="00EE3EC5" w:rsidRDefault="00EE3EC5" w:rsidP="00EE3EC5">
      <w:pPr>
        <w:rPr>
          <w:lang w:val="uk-UA"/>
        </w:rPr>
      </w:pPr>
    </w:p>
    <w:p w14:paraId="4700843A" w14:textId="77777777" w:rsidR="00EE3EC5" w:rsidRDefault="00EE3EC5" w:rsidP="00EE3EC5">
      <w:pPr>
        <w:rPr>
          <w:lang w:val="uk-UA"/>
        </w:rPr>
      </w:pPr>
    </w:p>
    <w:p w14:paraId="79DD7863" w14:textId="77777777" w:rsidR="00EE3EC5" w:rsidRDefault="00EE3EC5" w:rsidP="00EE3EC5">
      <w:pPr>
        <w:rPr>
          <w:lang w:val="uk-UA"/>
        </w:rPr>
      </w:pPr>
    </w:p>
    <w:p w14:paraId="40606D91" w14:textId="77777777" w:rsidR="00EE3EC5" w:rsidRDefault="00EE3EC5" w:rsidP="00EE3EC5">
      <w:pPr>
        <w:rPr>
          <w:lang w:val="uk-UA"/>
        </w:rPr>
      </w:pPr>
    </w:p>
    <w:p w14:paraId="4E583A67" w14:textId="77777777" w:rsidR="00EE3EC5" w:rsidRDefault="00EE3EC5" w:rsidP="00EE3EC5">
      <w:pPr>
        <w:rPr>
          <w:lang w:val="uk-UA"/>
        </w:rPr>
      </w:pPr>
    </w:p>
    <w:p w14:paraId="29C55C62" w14:textId="77777777" w:rsidR="00EE3EC5" w:rsidRDefault="00EE3EC5" w:rsidP="00EE3EC5">
      <w:pPr>
        <w:rPr>
          <w:lang w:val="uk-UA"/>
        </w:rPr>
      </w:pPr>
    </w:p>
    <w:p w14:paraId="1375E2B6" w14:textId="77777777" w:rsidR="00EE3EC5" w:rsidRDefault="00EE3EC5" w:rsidP="00EE3EC5">
      <w:pPr>
        <w:rPr>
          <w:lang w:val="uk-UA"/>
        </w:rPr>
      </w:pPr>
    </w:p>
    <w:p w14:paraId="2C87220E" w14:textId="77777777" w:rsidR="00EE3EC5" w:rsidRDefault="00EE3EC5" w:rsidP="00EE3EC5">
      <w:pPr>
        <w:rPr>
          <w:lang w:val="uk-UA"/>
        </w:rPr>
      </w:pPr>
    </w:p>
    <w:p w14:paraId="573246EE" w14:textId="77777777" w:rsidR="00EE3EC5" w:rsidRDefault="00EE3EC5" w:rsidP="00EE3EC5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uk-UA" w:bidi="en-US"/>
        </w:rPr>
      </w:pPr>
      <w:bookmarkStart w:id="21" w:name="_Toc468742376"/>
      <w:bookmarkStart w:id="22" w:name="_Toc450591349"/>
      <w:bookmarkStart w:id="23" w:name="_Toc501348733"/>
      <w:bookmarkStart w:id="24" w:name="_Toc31302016"/>
      <w:r w:rsidRPr="004F6AFE">
        <w:rPr>
          <w:rFonts w:ascii="Times New Roman" w:eastAsia="Times New Roman" w:hAnsi="Times New Roman" w:cs="Times New Roman"/>
          <w:bCs/>
          <w:caps/>
          <w:sz w:val="28"/>
          <w:szCs w:val="28"/>
          <w:lang w:val="uk-UA" w:bidi="en-US"/>
        </w:rPr>
        <w:lastRenderedPageBreak/>
        <w:t xml:space="preserve">розділ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uk-UA" w:bidi="en-US"/>
        </w:rPr>
        <w:t>3</w:t>
      </w:r>
      <w:r w:rsidRPr="004F6AFE">
        <w:rPr>
          <w:rFonts w:ascii="Times New Roman" w:eastAsia="Times New Roman" w:hAnsi="Times New Roman" w:cs="Times New Roman"/>
          <w:bCs/>
          <w:caps/>
          <w:sz w:val="28"/>
          <w:szCs w:val="28"/>
          <w:lang w:val="uk-UA" w:bidi="en-US"/>
        </w:rPr>
        <w:t xml:space="preserve"> Еколого-фаунІстичний аналіз орнітофауни </w:t>
      </w:r>
      <w:bookmarkEnd w:id="21"/>
      <w:bookmarkEnd w:id="22"/>
      <w:bookmarkEnd w:id="23"/>
      <w:r w:rsidRPr="004F6AFE">
        <w:rPr>
          <w:rFonts w:ascii="Times New Roman" w:eastAsia="Times New Roman" w:hAnsi="Times New Roman" w:cs="Times New Roman"/>
          <w:bCs/>
          <w:caps/>
          <w:sz w:val="28"/>
          <w:szCs w:val="28"/>
          <w:lang w:val="uk-UA" w:bidi="en-US"/>
        </w:rPr>
        <w:t>Комплекної пам’ятки природи «немирівське городище»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uk-UA" w:bidi="en-US"/>
        </w:rPr>
        <w:t xml:space="preserve"> тА РЕГІОНАЛЬНОГО ЛАНДШАФТНОГО ПАРКУ «Дністер»</w:t>
      </w:r>
      <w:bookmarkEnd w:id="24"/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uk-UA" w:bidi="en-US"/>
        </w:rPr>
        <w:t xml:space="preserve"> </w:t>
      </w:r>
    </w:p>
    <w:p w14:paraId="3ED7FC1E" w14:textId="77777777" w:rsidR="00EE3EC5" w:rsidRPr="006D4A79" w:rsidRDefault="00EE3EC5" w:rsidP="00EE3EC5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  <w:bookmarkStart w:id="25" w:name="_Toc31302017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D4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D4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D4A79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Топічний</w:t>
      </w:r>
      <w:r w:rsidRPr="004F6AFE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 аналіз гніздової та міграційної орнітофауни комплексної пам’ятки природи «Немирівське городище»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 та регіонального ландшафтного парку «Дністер»</w:t>
      </w:r>
      <w:bookmarkEnd w:id="25"/>
    </w:p>
    <w:p w14:paraId="7EEFD4B3" w14:textId="77777777" w:rsidR="00EE3EC5" w:rsidRPr="004F6AFE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Деревні насадження займають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порівняно невелику частину площі об’єктів, але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беручи до уваги той факт,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лісов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обох об’єктів не є 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суцільним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а представлені фрагментарно, та розподілені ярами та перелісками, мають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мішаний характер та помірну зволоженість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 особливості є сприятливими для збільшення числа видів, для яких даний біотоп буде максимально оптимальним, і створюють умови для широкого різноманіття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дендрофільних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видів.</w:t>
      </w:r>
    </w:p>
    <w:p w14:paraId="51BFD402" w14:textId="77777777" w:rsidR="00EE3EC5" w:rsidRPr="00FC150E" w:rsidRDefault="00EE3EC5" w:rsidP="00EE3EC5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</w:pPr>
      <w:bookmarkStart w:id="26" w:name="_Toc501348745"/>
      <w:bookmarkStart w:id="27" w:name="_Toc31302018"/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3</w:t>
      </w:r>
      <w:r w:rsidRPr="00FC150E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.</w:t>
      </w:r>
      <w:bookmarkEnd w:id="26"/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2</w:t>
      </w:r>
      <w:r w:rsidRPr="00FC150E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. Детальний аналі</w:t>
      </w:r>
      <w:r w:rsidRPr="00FC150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з </w:t>
      </w:r>
      <w:proofErr w:type="spellStart"/>
      <w:r w:rsidRPr="00FC150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дендрофільної</w:t>
      </w:r>
      <w:proofErr w:type="spellEnd"/>
      <w:r w:rsidRPr="00FC150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топічної групи</w:t>
      </w:r>
      <w:bookmarkEnd w:id="27"/>
    </w:p>
    <w:p w14:paraId="473529AB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детальному розгляді трофічної структури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дендрофільного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угрупування видів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КПП «Немирівське городище»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можна побачити, що найбільш чисельними є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пантофаги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– 21 вид, та ентомофаги – 18 видів; фітофаги представлені 8 видами. Найменшою групою є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орнітофаги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 види. (дивись діаграму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.3). </w:t>
      </w:r>
    </w:p>
    <w:p w14:paraId="5D8C4FE6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E20F08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6795FF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F24DA7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99B671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F8DE6C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79B91E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BF6C3E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A87723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EF7A24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2D9DA7" w14:textId="77777777" w:rsidR="00EE3EC5" w:rsidRDefault="00EE3EC5" w:rsidP="00EE3EC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Діаграма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.3 Дані розподілу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дендрофільної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за трофічною спеціалізацією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КПП «Немирівське городище»</w:t>
      </w:r>
    </w:p>
    <w:p w14:paraId="1606030F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384F3B5" wp14:editId="1E860F38">
            <wp:extent cx="5181600" cy="3059289"/>
            <wp:effectExtent l="0" t="0" r="0" b="8255"/>
            <wp:docPr id="3" name="Діаграма 3">
              <a:extLst xmlns:a="http://schemas.openxmlformats.org/drawingml/2006/main">
                <a:ext uri="{FF2B5EF4-FFF2-40B4-BE49-F238E27FC236}">
                  <a16:creationId xmlns:a16="http://schemas.microsoft.com/office/drawing/2014/main" id="{CF4CB323-099E-40CD-AFD4-3955BB6855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FB025CB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A6EAAA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Такий розподіл цілком відповідає даним таксономічного аналізу, оскільки більшість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дендрофілів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представлена рядом Горобцеподібні, переважна кількість з яких є або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ентомо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або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пантофагами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Фітофаги представлені видами ряду Голубоподібні та родини В’юркові з ряду Горобцеподібних.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Пантозоофагами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данному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угрупуванні виступають здебільшого представники ряду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Соколоподібних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такі як шуліка чорний та боривітер звичайний. Щодо стенофагів, то вони в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данному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випадку представлені виключно двома видами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орнітофагів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яструбами великим та малим.</w:t>
      </w:r>
    </w:p>
    <w:p w14:paraId="5585306E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дослідженні 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трофічної структури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дендрофільного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угрупування видів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РЛП «Дністер» 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можна побачити, що найбільш чисельними є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пантофаги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вид, та ентомофаги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видів; фітофаги представлені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видами. Найменшою групою є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орнітофаги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пантозоофаги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та 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види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(дивись діаграму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14:paraId="719FE066" w14:textId="77777777" w:rsidR="00EE3EC5" w:rsidRDefault="00EE3EC5" w:rsidP="00EE3EC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1D708D3C" w14:textId="77777777" w:rsidR="00EE3EC5" w:rsidRDefault="00EE3EC5" w:rsidP="00EE3EC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Діаграма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Дані розподілу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дендрофільної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за трофічною спеціалізацією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РЛП «Дністер»</w:t>
      </w:r>
    </w:p>
    <w:p w14:paraId="01E70B18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8028E1E" wp14:editId="3512E646">
            <wp:extent cx="5396089" cy="2991555"/>
            <wp:effectExtent l="0" t="0" r="14605" b="18415"/>
            <wp:docPr id="4" name="Діаграма 4">
              <a:extLst xmlns:a="http://schemas.openxmlformats.org/drawingml/2006/main">
                <a:ext uri="{FF2B5EF4-FFF2-40B4-BE49-F238E27FC236}">
                  <a16:creationId xmlns:a16="http://schemas.microsoft.com/office/drawing/2014/main" id="{79F19072-82F3-4B2B-B0AD-7C5D1E4236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7A15876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CB57F3" w14:textId="77777777" w:rsidR="00EE3EC5" w:rsidRPr="004F6AFE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розподіл цілком відповідає даним таксономічного аналізу, оскільки більшість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дендрофілів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представлена рядом Горобцеподібні, переважна кількість з яких є або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ентомо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або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пантофагами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Найбільш чисельними є представники родини Горобцеві – Горобець хатній та Горобець польовий.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Фітофаги представлені видами ряду Голубоподібні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(припутень)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родини В’юркові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(зяблик та зеленяк) 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ряду Горобцеподібних.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Пантозоофагами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данному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угрупуванні виступають здебільшого представники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ряду Совоподібних.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стенофагів, то вони в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данному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випадку представлені виключно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орнітофагів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яструб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AF9CEC8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даних аналізу вказаної групи за типами розташування гнізд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КПП «Немирівське городище»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(див. діаграму 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маємо наступні показники: з 53 видів даного угруповання, що гніздиться на території комплексної пам’ятки природи, 40 розташовують свої гнізда в найбільш притаманних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дендрофільному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угрупованню місцях, кронах, або середньому ярусі дерев та в дуплах.</w:t>
      </w:r>
    </w:p>
    <w:p w14:paraId="6C7EAFC3" w14:textId="77777777" w:rsidR="00EE3EC5" w:rsidRDefault="00EE3EC5" w:rsidP="00EE3EC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5329B543" w14:textId="77777777" w:rsidR="00EE3EC5" w:rsidRPr="004F6AFE" w:rsidRDefault="00EE3EC5" w:rsidP="00EE3E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Діаграма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Дані Розподілу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дендрофільної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за типами розташування гнізд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КПП «Немирівське городище»</w:t>
      </w:r>
    </w:p>
    <w:p w14:paraId="021BBB10" w14:textId="77777777" w:rsidR="00EE3EC5" w:rsidRPr="004F6AFE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118C8F2" wp14:editId="1EE1CAA0">
            <wp:extent cx="5290255" cy="3171825"/>
            <wp:effectExtent l="38100" t="0" r="5715" b="9525"/>
            <wp:docPr id="5" name="Діаграма 5">
              <a:extLst xmlns:a="http://schemas.openxmlformats.org/drawingml/2006/main">
                <a:ext uri="{FF2B5EF4-FFF2-40B4-BE49-F238E27FC236}">
                  <a16:creationId xmlns:a16="http://schemas.microsoft.com/office/drawing/2014/main" id="{6411CB5A-A937-4E47-8B54-CCD73D5882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E4019E" w14:textId="77777777" w:rsidR="00EE3EC5" w:rsidRPr="004F6AFE" w:rsidRDefault="00EE3EC5" w:rsidP="00EE3E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1EFC11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Відносно нетипові варіанти розташування гнізд в даній групі представлені мало. Так, зокрема в кущах та на землі гнізда розташовують всього 13 видів. Тих, що розташовують свої гнізда на землі, загалом 6 видів. З них 2 (вівчарик-ковалик, та вівсянка звичайна) гніздяться переважно на узліссі,  таким чином лишаючись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дендрофілами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але тяжіючими до відкритих просторів (наприклад вівсянку звичайну можна почути виключно на узліссях та галявинах, на вільних від дерев місцях її не буде) Більш детальні дані розподілів наведені в додатку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9B8F7B7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даних аналізу вказаної групи за типами розташування гнізд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РЛП «Дністер»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(див. діаграму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маємо наступні показники: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видів даного угруповання, що гніздиться на території комплексної пам’ятки природи,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розташовують свої гнізда в найбільш притаманних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дендрофільному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угрупованню місцях, кронах, або середньому ярусі дерев та в дуплах.</w:t>
      </w:r>
    </w:p>
    <w:p w14:paraId="1803CB4D" w14:textId="77777777" w:rsidR="00EE3EC5" w:rsidRDefault="00EE3EC5" w:rsidP="00EE3EC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649AF5B4" w14:textId="77777777" w:rsidR="00EE3EC5" w:rsidRDefault="00EE3EC5" w:rsidP="00EE3E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Діаграма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Дані р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озподілу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дендрофільної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за типами розташування гнізд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РЛП «Дністер» </w:t>
      </w:r>
    </w:p>
    <w:p w14:paraId="27D0E517" w14:textId="77777777" w:rsidR="00EE3EC5" w:rsidRDefault="00EE3EC5" w:rsidP="00EE3E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7272661" wp14:editId="13F8314E">
            <wp:extent cx="4975860" cy="2743200"/>
            <wp:effectExtent l="0" t="0" r="15240" b="0"/>
            <wp:docPr id="6" name="Діаграма 6">
              <a:extLst xmlns:a="http://schemas.openxmlformats.org/drawingml/2006/main">
                <a:ext uri="{FF2B5EF4-FFF2-40B4-BE49-F238E27FC236}">
                  <a16:creationId xmlns:a16="http://schemas.microsoft.com/office/drawing/2014/main" id="{C081D67C-CC3B-42E1-9737-D8A2AA8AE7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F17003" w14:textId="77777777" w:rsidR="00EE3EC5" w:rsidRPr="004F6AFE" w:rsidRDefault="00EE3EC5" w:rsidP="00EE3E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62CF99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Відносно нетипові варіанти розташування гнізд в даній групі представлені мало. Так, зокрема в кущах та на землі гнізда розташовують всього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видів. Тих, що розташовують свої гнізда на землі, загалом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видів. З них 2 (вівчарик-ковалик,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вівчарик-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жовтобровий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гніздяться переважно на узліссі,  таким чином лишаючись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дендрофілами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але тяжіючими до відкритих просторів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 кущах свої гнізда розташовують Дрізд чорний та Сорока. 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 детальні дані розподілів наведені в додатку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9C2F660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з результатів аналізу за типами ареалів, розподіл наступний (див. діаграму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,діаграму 3.8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277299E4" w14:textId="77777777" w:rsidR="00EE3EC5" w:rsidRDefault="00EE3EC5" w:rsidP="00EE3EC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72869192" w14:textId="77777777" w:rsidR="00EE3EC5" w:rsidRDefault="00EE3EC5" w:rsidP="00EE3EC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Діаграма 3.7 Дані розподілу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дендрофільної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за типами ареалів на території РЛП «Дністер»</w:t>
      </w:r>
    </w:p>
    <w:p w14:paraId="2F8B94C3" w14:textId="77777777" w:rsidR="00EE3EC5" w:rsidRPr="004F6AFE" w:rsidRDefault="00EE3EC5" w:rsidP="00EE3E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D6C719" w14:textId="77777777" w:rsidR="00EE3EC5" w:rsidRDefault="00EE3EC5" w:rsidP="00EE3E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3883D8D" wp14:editId="0CAE1741">
            <wp:extent cx="5588000" cy="2991555"/>
            <wp:effectExtent l="0" t="0" r="12700" b="18415"/>
            <wp:docPr id="9" name="Діаграма 9">
              <a:extLst xmlns:a="http://schemas.openxmlformats.org/drawingml/2006/main">
                <a:ext uri="{FF2B5EF4-FFF2-40B4-BE49-F238E27FC236}">
                  <a16:creationId xmlns:a16="http://schemas.microsoft.com/office/drawing/2014/main" id="{EAE6ED49-A35F-4E0C-A1E8-429F13CE30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2A0BDC9" w14:textId="77777777" w:rsidR="00EE3EC5" w:rsidRDefault="00EE3EC5" w:rsidP="00EE3E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Діаграма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Дані розподілу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дендрофільної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за типами ареалів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КПП «Немирівське городище»</w:t>
      </w:r>
    </w:p>
    <w:p w14:paraId="6B9D883B" w14:textId="77777777" w:rsidR="00EE3EC5" w:rsidRDefault="00EE3EC5" w:rsidP="00EE3E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DBEC19A" wp14:editId="6A15F221">
            <wp:extent cx="5588000" cy="3138311"/>
            <wp:effectExtent l="0" t="0" r="12700" b="5080"/>
            <wp:docPr id="8" name="Діаграма 8">
              <a:extLst xmlns:a="http://schemas.openxmlformats.org/drawingml/2006/main">
                <a:ext uri="{FF2B5EF4-FFF2-40B4-BE49-F238E27FC236}">
                  <a16:creationId xmlns:a16="http://schemas.microsoft.com/office/drawing/2014/main" id="{1DFEFD09-B0C2-4EAD-8420-8FA95067B9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8032D4" w14:textId="77777777" w:rsidR="00EE3EC5" w:rsidRDefault="00EE3EC5" w:rsidP="00EE3E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2AAF14" w14:textId="77777777" w:rsidR="00EE3EC5" w:rsidRPr="004F6AFE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Більшість видів мають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західно-палеарктичний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транспалеарктичний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тип ареалу.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космополітним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напівкосмополітним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птахи з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трансголарктичним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типом ареалу представлені менше. Ці дані повністю 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співзвучні з географічним положенням області.  Найменшу представленість – мають види з південно-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палеарктичним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(горлиця садова). Пояснюється це тим, що дан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тип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ареа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 розповсюджені у південній та східній частинах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Палеарктичної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області. У випадку с горлицею садовою, розширення її ареалу внаслідок урбанізації призвело до того, що даний вид є досить чисельним не дивлячись на тип ареалу. Детальніші дані наведено в додатку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Г.</w:t>
      </w:r>
    </w:p>
    <w:p w14:paraId="6A8B77B7" w14:textId="77777777" w:rsidR="00EE3EC5" w:rsidRPr="004F6AFE" w:rsidRDefault="00EE3EC5" w:rsidP="00EE3E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7CA597" w14:textId="77777777" w:rsidR="00EE3EC5" w:rsidRPr="004F6AFE" w:rsidRDefault="00EE3EC5" w:rsidP="00EE3EC5">
      <w:pPr>
        <w:pStyle w:val="2"/>
        <w:spacing w:before="0"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bookmarkStart w:id="28" w:name="_Toc468742388"/>
      <w:bookmarkStart w:id="29" w:name="_Toc501348753"/>
      <w:bookmarkStart w:id="30" w:name="_Toc31302019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Pr="004F6A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.5. Аналіз </w:t>
      </w:r>
      <w:proofErr w:type="spellStart"/>
      <w:r w:rsidRPr="004F6AFE">
        <w:rPr>
          <w:rFonts w:ascii="Times New Roman" w:hAnsi="Times New Roman" w:cs="Times New Roman"/>
          <w:color w:val="auto"/>
          <w:sz w:val="28"/>
          <w:szCs w:val="28"/>
          <w:lang w:val="uk-UA"/>
        </w:rPr>
        <w:t>дендрофільної</w:t>
      </w:r>
      <w:proofErr w:type="spellEnd"/>
      <w:r w:rsidRPr="004F6A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топічної групи орнітофауни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КПП</w:t>
      </w:r>
      <w:r w:rsidRPr="004F6AFE">
        <w:rPr>
          <w:rFonts w:ascii="Times New Roman" w:hAnsi="Times New Roman" w:cs="Times New Roman"/>
          <w:color w:val="auto"/>
          <w:sz w:val="28"/>
          <w:szCs w:val="28"/>
          <w:lang w:val="uk-UA"/>
        </w:rPr>
        <w:t>«Немирівське</w:t>
      </w:r>
      <w:proofErr w:type="spellEnd"/>
      <w:r w:rsidRPr="004F6A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городище»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РЛП «Дністер»</w:t>
      </w:r>
      <w:r w:rsidRPr="004F6A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 природоохоронними сп</w:t>
      </w:r>
      <w:bookmarkEnd w:id="28"/>
      <w:r w:rsidRPr="004F6AFE">
        <w:rPr>
          <w:rFonts w:ascii="Times New Roman" w:hAnsi="Times New Roman" w:cs="Times New Roman"/>
          <w:color w:val="auto"/>
          <w:sz w:val="28"/>
          <w:szCs w:val="28"/>
          <w:lang w:val="uk-UA"/>
        </w:rPr>
        <w:t>исками</w:t>
      </w:r>
      <w:bookmarkEnd w:id="29"/>
      <w:bookmarkEnd w:id="30"/>
    </w:p>
    <w:p w14:paraId="5FE939DE" w14:textId="77777777" w:rsidR="00EE3EC5" w:rsidRPr="004F6AFE" w:rsidRDefault="00EE3EC5" w:rsidP="00EE3E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Орнітофауна об’єкта досліджень представлена значною кількістю видів, які підлягають охороні на регіональному, національному та планетарному рівнях.</w:t>
      </w:r>
    </w:p>
    <w:p w14:paraId="115DD357" w14:textId="77777777" w:rsidR="00EE3EC5" w:rsidRPr="004F6AFE" w:rsidRDefault="00EE3EC5" w:rsidP="00EE3E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Так, відповідно до Червоного списку Міжнародного союзу охорони природи кібчик </w:t>
      </w:r>
      <w:r w:rsidRPr="004F6AFE"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  <w:t>є видом, близьким до стану загрози зникнення.</w:t>
      </w:r>
    </w:p>
    <w:p w14:paraId="57817457" w14:textId="77777777" w:rsidR="00EE3EC5" w:rsidRPr="004F6AFE" w:rsidRDefault="00EE3EC5" w:rsidP="00EE3E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</w:pPr>
      <w:r w:rsidRPr="004F6AFE"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  <w:t>Згідно з Європейськими Червоними списками, 2 види є вразливими – шуліка чорний</w:t>
      </w:r>
      <w:r w:rsidRPr="004F6AFE">
        <w:rPr>
          <w:rFonts w:ascii="Times New Roman" w:eastAsia="Times New Roman" w:hAnsi="Times New Roman" w:cs="Times New Roman"/>
          <w:i/>
          <w:iCs/>
          <w:kern w:val="16"/>
          <w:sz w:val="28"/>
          <w:szCs w:val="28"/>
          <w:lang w:val="uk-UA" w:eastAsia="ru-RU" w:bidi="en-US"/>
        </w:rPr>
        <w:t>,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 xml:space="preserve"> </w:t>
      </w:r>
      <w:r w:rsidRPr="004F6AFE"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  <w:t xml:space="preserve">та 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кібчик</w:t>
      </w:r>
      <w:r w:rsidRPr="004F6AFE"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  <w:t>.</w:t>
      </w:r>
    </w:p>
    <w:p w14:paraId="1C590F3D" w14:textId="77777777" w:rsidR="00EE3EC5" w:rsidRPr="004F6AFE" w:rsidRDefault="00EE3EC5" w:rsidP="00EE3E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</w:pPr>
      <w:r w:rsidRPr="004F6AFE"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  <w:t>На національному рівні охороняється шуліка чорний, який наразі має статус «вразливий». [1].</w:t>
      </w:r>
    </w:p>
    <w:p w14:paraId="1FAA64A3" w14:textId="77777777" w:rsidR="00EE3EC5" w:rsidRDefault="00EE3EC5" w:rsidP="00EE3E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</w:pPr>
      <w:r w:rsidRPr="004F6AFE"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  <w:t xml:space="preserve">Проте занесення виду до Червоних списків ще не передбачає його ефективну охорону. Необхідний безперервний моніторинг стану популяції, розробка та проведення заходів зі збереження особин виду та середовища його існування – і тільки тоді буде можливість усунути або зменшити загрозу зникнення. </w:t>
      </w:r>
    </w:p>
    <w:p w14:paraId="66E39402" w14:textId="77777777" w:rsidR="00EE3EC5" w:rsidRPr="004F6AFE" w:rsidRDefault="00EE3EC5" w:rsidP="00EE3E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/>
        </w:rPr>
      </w:pPr>
      <w:r w:rsidRPr="00BE4E51"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  <w:t>Сова сіра</w:t>
      </w:r>
      <w:r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  <w:t xml:space="preserve"> та сова вухата </w:t>
      </w:r>
      <w:r w:rsidRPr="00BE4E51"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  <w:t xml:space="preserve"> перебува</w:t>
      </w:r>
      <w:r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  <w:t>ють</w:t>
      </w:r>
      <w:r w:rsidRPr="00BE4E51"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  <w:t xml:space="preserve"> під захистом Бернської конвенції, а також Конвенції про торгівлю рідкісними видами флори та фауни. Для збереження цього чудового птаха - </w:t>
      </w:r>
      <w:proofErr w:type="spellStart"/>
      <w:r w:rsidRPr="00BE4E51"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  <w:t>символа</w:t>
      </w:r>
      <w:proofErr w:type="spellEnd"/>
      <w:r w:rsidRPr="00BE4E51"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  <w:t xml:space="preserve"> мудрості - слід вжити заходів, в тому числі і про</w:t>
      </w:r>
      <w:r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  <w:t>с</w:t>
      </w:r>
      <w:r w:rsidRPr="00BE4E51"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 w:bidi="en-US"/>
        </w:rPr>
        <w:t>вітницьких, щодо відмови від використання пестицидів, охороняти праліси і старі дуплисті дерева, розвішувати штучні гніздівлі в садах і парках.</w:t>
      </w:r>
      <w:r w:rsidRPr="00C06845">
        <w:rPr>
          <w:lang w:val="uk-UA"/>
        </w:rPr>
        <w:t xml:space="preserve"> </w:t>
      </w:r>
      <w:r w:rsidRPr="004F6AFE">
        <w:rPr>
          <w:rFonts w:ascii="Times New Roman" w:eastAsia="Times New Roman" w:hAnsi="Times New Roman" w:cs="Times New Roman"/>
          <w:iCs/>
          <w:kern w:val="16"/>
          <w:sz w:val="28"/>
          <w:szCs w:val="28"/>
          <w:lang w:val="uk-UA" w:eastAsia="ru-RU"/>
        </w:rPr>
        <w:br w:type="page"/>
      </w:r>
    </w:p>
    <w:p w14:paraId="43B205EA" w14:textId="77777777" w:rsidR="00EE3EC5" w:rsidRPr="004F6AFE" w:rsidRDefault="00EE3EC5" w:rsidP="00EE3EC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lang w:val="uk-UA"/>
        </w:rPr>
      </w:pPr>
      <w:bookmarkStart w:id="31" w:name="_Toc501348755"/>
      <w:bookmarkStart w:id="32" w:name="_Toc31302020"/>
      <w:r w:rsidRPr="004F6AFE">
        <w:rPr>
          <w:rFonts w:ascii="Times New Roman" w:hAnsi="Times New Roman" w:cs="Times New Roman"/>
          <w:color w:val="auto"/>
          <w:lang w:val="uk-UA"/>
        </w:rPr>
        <w:lastRenderedPageBreak/>
        <w:t>ВИСНОВКИ</w:t>
      </w:r>
      <w:bookmarkEnd w:id="31"/>
      <w:bookmarkEnd w:id="32"/>
    </w:p>
    <w:p w14:paraId="1F99BF25" w14:textId="77777777" w:rsidR="00EE3EC5" w:rsidRPr="004F6AFE" w:rsidRDefault="00EE3EC5" w:rsidP="00EE3E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en-US"/>
        </w:rPr>
      </w:pPr>
    </w:p>
    <w:p w14:paraId="6846BFD0" w14:textId="77777777" w:rsidR="00EE3EC5" w:rsidRPr="004F6AFE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основі інформації, отриманої в ході досліджень, літературних джерел та даних сезонної динаміки видового складу орнітофауни КПП «Немирівське городище»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РЛП «Дністер»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можна зробити наступні висновки: </w:t>
      </w:r>
    </w:p>
    <w:p w14:paraId="7D397270" w14:textId="77777777" w:rsidR="00EE3EC5" w:rsidRPr="004F6AFE" w:rsidRDefault="00EE3EC5" w:rsidP="00EE3EC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>За результатами досліджень, систематизації і узагальнення літературних даних, до складу орнітофауни досліджуваної території автором віднесено 118 видів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КПП «Немирівське городище» та 46 видів у РЛП «Дністер» , що становить </w:t>
      </w: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28,36%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11,05% від </w:t>
      </w:r>
      <w:r w:rsidRPr="004F6AFE">
        <w:rPr>
          <w:rFonts w:ascii="Times New Roman" w:hAnsi="Times New Roman" w:cs="Times New Roman"/>
          <w:sz w:val="28"/>
          <w:szCs w:val="28"/>
          <w:lang w:val="uk-UA"/>
        </w:rPr>
        <w:t>фауни птахів України.</w:t>
      </w:r>
    </w:p>
    <w:p w14:paraId="1FE837C3" w14:textId="77777777" w:rsidR="00EE3EC5" w:rsidRPr="004F6AFE" w:rsidRDefault="00EE3EC5" w:rsidP="00EE3EC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те, що деревні насадження займають незначну частку від загальної площі, найбільше число видів в орнітофауні представлено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дендрофілами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>. Даний результат можна пояснити кліматичними та рельєфними особливостями території 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AAFFE18" w14:textId="77777777" w:rsidR="00EE3EC5" w:rsidRPr="004F6AFE" w:rsidRDefault="00EE3EC5" w:rsidP="00EE3EC5">
      <w:pPr>
        <w:pStyle w:val="a6"/>
        <w:numPr>
          <w:ilvl w:val="0"/>
          <w:numId w:val="3"/>
        </w:numPr>
        <w:tabs>
          <w:tab w:val="left" w:pos="482"/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>Серед гніздової орнітофауни, більшість представлена видами, що розташовують свої гніздові конструкції на землі, в дуплах, та в кронах дерев, що на думку автора, є прогнозованим і обумовлено умовами рельєфу 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F6AFE">
        <w:rPr>
          <w:rFonts w:ascii="Times New Roman" w:hAnsi="Times New Roman" w:cs="Times New Roman"/>
          <w:sz w:val="28"/>
          <w:szCs w:val="28"/>
          <w:lang w:val="uk-UA"/>
        </w:rPr>
        <w:t>, і його зональним розташуванням.</w:t>
      </w:r>
    </w:p>
    <w:p w14:paraId="3CB3B8C8" w14:textId="77777777" w:rsidR="00EE3EC5" w:rsidRPr="004F6AFE" w:rsidRDefault="00EE3EC5" w:rsidP="00EE3EC5">
      <w:pPr>
        <w:pStyle w:val="a6"/>
        <w:numPr>
          <w:ilvl w:val="0"/>
          <w:numId w:val="3"/>
        </w:numPr>
        <w:tabs>
          <w:tab w:val="left" w:pos="482"/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Орнітофауна об’єкта в основному сформована видами, які мають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транспалеарктичний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трансголарктичний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західно-палеарктичний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космополітний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типи ареалів. Представники інших типів є здебільшого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синантропі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зованими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видами</w:t>
      </w:r>
      <w:r w:rsidRPr="004F6AFE">
        <w:rPr>
          <w:rFonts w:ascii="Times New Roman" w:hAnsi="Times New Roman" w:cs="Times New Roman"/>
          <w:sz w:val="28"/>
          <w:szCs w:val="28"/>
          <w:lang w:val="uk-UA"/>
        </w:rPr>
        <w:t>, або такими, що мають статус регіонально рідкісних птахів.</w:t>
      </w:r>
    </w:p>
    <w:p w14:paraId="55C4B73B" w14:textId="77777777" w:rsidR="00EE3EC5" w:rsidRPr="004F6AFE" w:rsidRDefault="00EE3EC5" w:rsidP="00EE3EC5">
      <w:pPr>
        <w:pStyle w:val="a6"/>
        <w:widowControl w:val="0"/>
        <w:numPr>
          <w:ilvl w:val="0"/>
          <w:numId w:val="3"/>
        </w:numPr>
        <w:spacing w:after="0" w:line="36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6AFE">
        <w:rPr>
          <w:rFonts w:ascii="Times New Roman" w:hAnsi="Times New Roman" w:cs="Times New Roman"/>
          <w:sz w:val="28"/>
          <w:szCs w:val="28"/>
          <w:lang w:val="uk-UA"/>
        </w:rPr>
        <w:t>До переліку орнітофауни парку входить значне число видів, що охороняються на різних рівнях від регіонального до світового.</w:t>
      </w:r>
    </w:p>
    <w:p w14:paraId="76B645D2" w14:textId="77777777" w:rsidR="00EE3EC5" w:rsidRPr="004F6AFE" w:rsidRDefault="00EE3EC5" w:rsidP="00EE3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6A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Таким чином, результати досліджень показали перспективність роботи в цьому  напрямку. Але для більш чіткого і детального аналізу отриманих результатів необхідно продовжити збір інформації на даному об’єкті. </w:t>
      </w:r>
    </w:p>
    <w:p w14:paraId="49A17F00" w14:textId="77777777" w:rsidR="00EE3EC5" w:rsidRPr="004F6AFE" w:rsidRDefault="00EE3EC5" w:rsidP="00EE3EC5">
      <w:pPr>
        <w:tabs>
          <w:tab w:val="left" w:pos="4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53920AA0" w14:textId="77777777" w:rsidR="00EE3EC5" w:rsidRDefault="00EE3EC5" w:rsidP="00EE3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AE7DFC" w14:textId="77777777" w:rsidR="00EE3EC5" w:rsidRPr="004F6AFE" w:rsidRDefault="00EE3EC5" w:rsidP="00EE3EC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auto"/>
          <w:lang w:val="uk-UA" w:eastAsia="ru-RU"/>
        </w:rPr>
      </w:pPr>
      <w:bookmarkStart w:id="33" w:name="_Toc515300905"/>
      <w:bookmarkStart w:id="34" w:name="_Toc31302021"/>
      <w:r w:rsidRPr="004F6AFE">
        <w:rPr>
          <w:rFonts w:ascii="Times New Roman" w:hAnsi="Times New Roman" w:cs="Times New Roman"/>
          <w:caps/>
          <w:color w:val="auto"/>
          <w:lang w:val="uk-UA" w:eastAsia="ru-RU"/>
        </w:rPr>
        <w:lastRenderedPageBreak/>
        <w:t>Список ВИКОРИСТАНИХ ПОСИЛАНЬ</w:t>
      </w:r>
      <w:bookmarkEnd w:id="33"/>
      <w:bookmarkEnd w:id="34"/>
    </w:p>
    <w:p w14:paraId="5523E890" w14:textId="77777777" w:rsidR="00EE3EC5" w:rsidRPr="004F6AFE" w:rsidRDefault="00EE3EC5" w:rsidP="00EE3EC5">
      <w:pPr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Акімов І.А. Червона книга України. Тваринний світ. Київ, 2009. 422 с.;</w:t>
      </w:r>
    </w:p>
    <w:p w14:paraId="5D9DC91B" w14:textId="77777777" w:rsidR="00EE3EC5" w:rsidRPr="004F6AFE" w:rsidRDefault="00EE3EC5" w:rsidP="00EE3EC5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 w:eastAsia="ru-RU"/>
        </w:rPr>
        <w:t>Барбарич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 w:eastAsia="ru-RU"/>
        </w:rPr>
        <w:t> А.І. Геоботанічне районування Української РСР. Київ, 1977. 304с.</w:t>
      </w:r>
    </w:p>
    <w:p w14:paraId="09390720" w14:textId="77777777" w:rsidR="00EE3EC5" w:rsidRPr="004F6AFE" w:rsidRDefault="00EE3EC5" w:rsidP="00EE3EC5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Белик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В.П.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Птицы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искусственных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лесов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степного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Прикавказья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Кривой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2009. С.40-45.</w:t>
      </w:r>
    </w:p>
    <w:p w14:paraId="6BD302D5" w14:textId="77777777" w:rsidR="00EE3EC5" w:rsidRPr="004F6AFE" w:rsidRDefault="00EE3EC5" w:rsidP="00EE3EC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Бёме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Р.Л., Кузнецов А.А.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Птицы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лесов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и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гор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СССР: Полевой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определитель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пособие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для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учителей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 Москва, 1981. 223с.</w:t>
      </w:r>
    </w:p>
    <w:p w14:paraId="192085AA" w14:textId="77777777" w:rsidR="00EE3EC5" w:rsidRPr="004F6AFE" w:rsidRDefault="00EE3EC5" w:rsidP="00EE3EC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Бёме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Р.Л., Кузнецов А.А.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Птицы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открытых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и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околоводных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пространств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СССР: Полевой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определитель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Кн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 для учителя. Москва, 1983. 176с.</w:t>
      </w:r>
    </w:p>
    <w:p w14:paraId="0FB48DF9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Бибби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 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К.,Джонс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М.,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Марсден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С.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Методы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полевых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экспедиционных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исследований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Исследования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и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учеты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птиц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 Москва, 2000. 186с.</w:t>
      </w:r>
    </w:p>
    <w:p w14:paraId="1CB73A50" w14:textId="77777777" w:rsidR="00EE3EC5" w:rsidRPr="004F6AFE" w:rsidRDefault="00EE3EC5" w:rsidP="00EE3EC5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proofErr w:type="spellStart"/>
      <w:r w:rsidRPr="004F6AFE">
        <w:rPr>
          <w:rFonts w:ascii="Times New Roman" w:hAnsi="Times New Roman" w:cs="Times New Roman"/>
          <w:bCs/>
          <w:sz w:val="28"/>
          <w:szCs w:val="28"/>
          <w:lang w:val="uk-UA" w:bidi="en-US"/>
        </w:rPr>
        <w:t>Второв</w:t>
      </w:r>
      <w:proofErr w:type="spellEnd"/>
      <w:r w:rsidRPr="004F6AFE">
        <w:rPr>
          <w:rFonts w:ascii="Times New Roman" w:hAnsi="Times New Roman" w:cs="Times New Roman"/>
          <w:bCs/>
          <w:sz w:val="28"/>
          <w:szCs w:val="28"/>
          <w:lang w:val="uk-UA" w:bidi="en-US"/>
        </w:rPr>
        <w:t xml:space="preserve"> П.П., Дроздов Н.Н. </w:t>
      </w:r>
      <w:proofErr w:type="spellStart"/>
      <w:r w:rsidRPr="004F6AFE">
        <w:rPr>
          <w:rFonts w:ascii="Times New Roman" w:hAnsi="Times New Roman" w:cs="Times New Roman"/>
          <w:bCs/>
          <w:sz w:val="28"/>
          <w:szCs w:val="28"/>
          <w:lang w:val="uk-UA" w:bidi="en-US"/>
        </w:rPr>
        <w:t>Определитель</w:t>
      </w:r>
      <w:proofErr w:type="spellEnd"/>
      <w:r w:rsidRPr="004F6AFE">
        <w:rPr>
          <w:rFonts w:ascii="Times New Roman" w:hAnsi="Times New Roman" w:cs="Times New Roman"/>
          <w:bCs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hAnsi="Times New Roman" w:cs="Times New Roman"/>
          <w:bCs/>
          <w:sz w:val="28"/>
          <w:szCs w:val="28"/>
          <w:lang w:val="uk-UA" w:bidi="en-US"/>
        </w:rPr>
        <w:t>птиц</w:t>
      </w:r>
      <w:proofErr w:type="spellEnd"/>
      <w:r w:rsidRPr="004F6AFE">
        <w:rPr>
          <w:rFonts w:ascii="Times New Roman" w:hAnsi="Times New Roman" w:cs="Times New Roman"/>
          <w:bCs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hAnsi="Times New Roman" w:cs="Times New Roman"/>
          <w:bCs/>
          <w:sz w:val="28"/>
          <w:szCs w:val="28"/>
          <w:lang w:val="uk-UA" w:bidi="en-US"/>
        </w:rPr>
        <w:t>фауны</w:t>
      </w:r>
      <w:proofErr w:type="spellEnd"/>
      <w:r w:rsidRPr="004F6AFE">
        <w:rPr>
          <w:rFonts w:ascii="Times New Roman" w:hAnsi="Times New Roman" w:cs="Times New Roman"/>
          <w:bCs/>
          <w:sz w:val="28"/>
          <w:szCs w:val="28"/>
          <w:lang w:val="uk-UA" w:bidi="en-US"/>
        </w:rPr>
        <w:t xml:space="preserve"> СССР. Москва, 1980. 256с.</w:t>
      </w:r>
    </w:p>
    <w:p w14:paraId="3C44D306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Иванов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А.И.,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Штегман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Б.К.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Краткий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определитель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птиц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СССР.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Ленинград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, 1978 г. 560с.</w:t>
      </w:r>
    </w:p>
    <w:p w14:paraId="37605D5B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Карякин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И.В.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Методические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рекомсендации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по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учету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пернатых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хищников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и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обработке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учетных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данных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Новосибирск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, 2000. 32с.</w:t>
      </w:r>
    </w:p>
    <w:p w14:paraId="06EA2D2D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Карякин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И.В.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Пернатые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хищники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(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методические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указания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по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изучению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соколообразных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и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совообразных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).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Нижний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Новгород, 2004. 351с. </w:t>
      </w:r>
    </w:p>
    <w:p w14:paraId="60D3C4E7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Матвійчук О.А., Серебряков В.В. Орнітофауна Верхнього і Середнього Побужжя. Київ, 2010. 280с.</w:t>
      </w:r>
    </w:p>
    <w:p w14:paraId="3735BC8B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Матвійчук О.А.,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Пірхал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А.Б., Ремінний В.Ю. Кадастр наземних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тетрапод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Вінницької області. Вінниця, 2015. 436с.</w:t>
      </w:r>
    </w:p>
    <w:p w14:paraId="238EE62E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Матвійчук О.А.,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Пірхал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А.Б.,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Відуецький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 А.В. Птахи Вінниччини. Вінниця, 2017. 328с.</w:t>
      </w:r>
    </w:p>
    <w:p w14:paraId="3C2149B4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Михеев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А.В.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Биология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птиц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Полевой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определитель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птичих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гнезд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 Москва, 1996. 460 с.</w:t>
      </w:r>
    </w:p>
    <w:p w14:paraId="641553CF" w14:textId="77777777" w:rsidR="00EE3EC5" w:rsidRPr="004F6AFE" w:rsidRDefault="00EE3EC5" w:rsidP="00EE3EC5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Наумов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Р.Л.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Организация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и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методы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учета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птиц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и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вредных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грызунов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 Москва, 1963. 137 с.</w:t>
      </w:r>
    </w:p>
    <w:p w14:paraId="213D08BD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lastRenderedPageBreak/>
        <w:t xml:space="preserve">Новиков Г.А.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Полевые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исследования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экологии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наземных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позвоночных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животных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 Москва, 1949. 465 с.</w:t>
      </w:r>
    </w:p>
    <w:p w14:paraId="3D84FAA6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Равкин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Е.С.,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Челинцев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Н.Г.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Методические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рекомендации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по комплексному маршрутному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учету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птиц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 Москва, 1990. 33 с.</w:t>
      </w:r>
    </w:p>
    <w:p w14:paraId="319090CA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Равкин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Ю.С. К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методике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учета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птиц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лесных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ландшафтах. </w:t>
      </w:r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Природа </w:t>
      </w:r>
      <w:proofErr w:type="spellStart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>очагов</w:t>
      </w:r>
      <w:proofErr w:type="spellEnd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>клещевого</w:t>
      </w:r>
      <w:proofErr w:type="spellEnd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>энцефалита</w:t>
      </w:r>
      <w:proofErr w:type="spellEnd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 на </w:t>
      </w:r>
      <w:proofErr w:type="spellStart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>Алтае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Новосибирск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, 1967.   С.66-75. </w:t>
      </w:r>
    </w:p>
    <w:p w14:paraId="120F7119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Равкин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Ю.С.,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Доброхотов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Б.П. К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методике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учета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птиц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лесных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ландшафтов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во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внегнездовое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время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</w:t>
      </w:r>
      <w:proofErr w:type="spellStart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>Организация</w:t>
      </w:r>
      <w:proofErr w:type="spellEnd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 и </w:t>
      </w:r>
      <w:proofErr w:type="spellStart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>методы</w:t>
      </w:r>
      <w:proofErr w:type="spellEnd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>учета</w:t>
      </w:r>
      <w:proofErr w:type="spellEnd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>птиц</w:t>
      </w:r>
      <w:proofErr w:type="spellEnd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 и </w:t>
      </w:r>
      <w:proofErr w:type="spellStart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>вредных</w:t>
      </w:r>
      <w:proofErr w:type="spellEnd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>грызунов</w:t>
      </w:r>
      <w:proofErr w:type="spellEnd"/>
      <w:r w:rsidRPr="004F6AFE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. </w:t>
      </w:r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Москва, 1963.  С. 130-136.</w:t>
      </w:r>
    </w:p>
    <w:p w14:paraId="75728C25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Симкин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Г.Н.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Певчие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птицы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  Москва, 1990. 399 с.</w:t>
      </w:r>
    </w:p>
    <w:p w14:paraId="46774CE5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Сиохин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В.Д., Черничко И.И., Попенко В.М. План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действий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по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организации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и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проведению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мониторинга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водно-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болотных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видов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птиц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 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Мелитополь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, 1998. 36 с. </w:t>
      </w:r>
    </w:p>
    <w:p w14:paraId="69CDC4EE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bidi="en-US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Степанян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Л.С. Конспект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орнитологической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фауны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СССР. Москва, 1990. 568 с.</w:t>
      </w:r>
    </w:p>
    <w:p w14:paraId="1608D334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Фесенко Г.В.,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Бокотей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 А.А. Анотований список українських наукових назв птахів фауни України. Київ – Львів, 2002. 44с.</w:t>
      </w:r>
    </w:p>
    <w:p w14:paraId="6B9B2537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Фесенко Г.В.,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Бокотей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 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А.А.Птахи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фауни України. Київ, 2002. 413 с.</w:t>
      </w:r>
    </w:p>
    <w:p w14:paraId="39EF9914" w14:textId="77777777" w:rsidR="00EE3EC5" w:rsidRPr="004F6AFE" w:rsidRDefault="00EE3EC5" w:rsidP="00EE3EC5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Штегман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 Б.К.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Основы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орнитогеографического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деления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Палеарктики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Мосва-Ленинград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, 1938. Т. 1. </w:t>
      </w:r>
      <w:proofErr w:type="spellStart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Вып</w:t>
      </w:r>
      <w:proofErr w:type="spellEnd"/>
      <w:r w:rsidRPr="004F6AF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2. 156 с. </w:t>
      </w:r>
    </w:p>
    <w:p w14:paraId="37D075E6" w14:textId="77777777" w:rsidR="00EE3EC5" w:rsidRPr="004F6AFE" w:rsidRDefault="00EE3EC5" w:rsidP="00EE3EC5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Oceanic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Atmospheric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AFE">
        <w:rPr>
          <w:rFonts w:ascii="Times New Roman" w:hAnsi="Times New Roman" w:cs="Times New Roman"/>
          <w:sz w:val="28"/>
          <w:szCs w:val="28"/>
          <w:lang w:val="uk-UA"/>
        </w:rPr>
        <w:t>Administration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F6AFE">
        <w:rPr>
          <w:rFonts w:ascii="Times New Roman" w:hAnsi="Times New Roman" w:cs="Times New Roman"/>
          <w:i/>
          <w:sz w:val="28"/>
          <w:szCs w:val="28"/>
          <w:lang w:val="uk-UA" w:eastAsia="ru-RU"/>
        </w:rPr>
        <w:t>Global</w:t>
      </w:r>
      <w:proofErr w:type="spellEnd"/>
      <w:r w:rsidRPr="004F6AFE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4F6AFE">
        <w:rPr>
          <w:rFonts w:ascii="Times New Roman" w:hAnsi="Times New Roman" w:cs="Times New Roman"/>
          <w:i/>
          <w:sz w:val="28"/>
          <w:szCs w:val="28"/>
          <w:lang w:val="uk-UA" w:eastAsia="ru-RU"/>
        </w:rPr>
        <w:t>Summary</w:t>
      </w:r>
      <w:proofErr w:type="spellEnd"/>
      <w:r w:rsidRPr="004F6AFE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4F6AFE">
        <w:rPr>
          <w:rFonts w:ascii="Times New Roman" w:hAnsi="Times New Roman" w:cs="Times New Roman"/>
          <w:i/>
          <w:sz w:val="28"/>
          <w:szCs w:val="28"/>
          <w:lang w:val="uk-UA" w:eastAsia="ru-RU"/>
        </w:rPr>
        <w:t>of</w:t>
      </w:r>
      <w:proofErr w:type="spellEnd"/>
      <w:r w:rsidRPr="004F6AFE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4F6AFE">
        <w:rPr>
          <w:rFonts w:ascii="Times New Roman" w:hAnsi="Times New Roman" w:cs="Times New Roman"/>
          <w:i/>
          <w:sz w:val="28"/>
          <w:szCs w:val="28"/>
          <w:lang w:val="uk-UA" w:eastAsia="ru-RU"/>
        </w:rPr>
        <w:t>the</w:t>
      </w:r>
      <w:proofErr w:type="spellEnd"/>
      <w:r w:rsidRPr="004F6AFE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4F6AFE">
        <w:rPr>
          <w:rFonts w:ascii="Times New Roman" w:hAnsi="Times New Roman" w:cs="Times New Roman"/>
          <w:i/>
          <w:sz w:val="28"/>
          <w:szCs w:val="28"/>
          <w:lang w:val="uk-UA" w:eastAsia="ru-RU"/>
        </w:rPr>
        <w:t>Year</w:t>
      </w:r>
      <w:proofErr w:type="spellEnd"/>
      <w:r w:rsidRPr="004F6AFE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4F6AFE">
        <w:rPr>
          <w:rFonts w:ascii="Times New Roman" w:hAnsi="Times New Roman" w:cs="Times New Roman"/>
          <w:i/>
          <w:sz w:val="28"/>
          <w:szCs w:val="28"/>
          <w:lang w:val="uk-UA" w:eastAsia="ru-RU"/>
        </w:rPr>
        <w:t>Station</w:t>
      </w:r>
      <w:proofErr w:type="spellEnd"/>
      <w:r w:rsidRPr="004F6AFE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4F6AFE">
        <w:rPr>
          <w:rFonts w:ascii="Times New Roman" w:hAnsi="Times New Roman" w:cs="Times New Roman"/>
          <w:i/>
          <w:sz w:val="28"/>
          <w:szCs w:val="28"/>
          <w:lang w:val="uk-UA" w:eastAsia="ru-RU"/>
        </w:rPr>
        <w:t>Details</w:t>
      </w:r>
      <w:proofErr w:type="spellEnd"/>
      <w:r w:rsidRPr="004F6A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" w:history="1">
        <w:r w:rsidRPr="004F6AFE">
          <w:rPr>
            <w:rStyle w:val="a3"/>
            <w:rFonts w:ascii="Times New Roman" w:hAnsi="Times New Roman" w:cs="Times New Roman"/>
            <w:sz w:val="28"/>
            <w:szCs w:val="28"/>
            <w:lang w:val="uk-UA" w:eastAsia="ru-RU"/>
          </w:rPr>
          <w:t>https://www.ncdc.noaa.gov/cdo-web/datasets/GSOY/stations/GHCND:UPM00033562/detail</w:t>
        </w:r>
      </w:hyperlink>
      <w:r w:rsidRPr="004F6A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(останнє звернення 28.05.18)</w:t>
      </w:r>
    </w:p>
    <w:p w14:paraId="5347C608" w14:textId="77777777" w:rsidR="00EE3EC5" w:rsidRPr="004F6AFE" w:rsidRDefault="00EE3EC5" w:rsidP="00EE3EC5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2" w:history="1">
        <w:r w:rsidRPr="004F6AFE">
          <w:rPr>
            <w:rStyle w:val="a3"/>
            <w:rFonts w:ascii="Times New Roman" w:hAnsi="Times New Roman" w:cs="Times New Roman"/>
            <w:sz w:val="28"/>
            <w:szCs w:val="28"/>
            <w:lang w:val="uk-UA" w:eastAsia="ru-RU"/>
          </w:rPr>
          <w:t>https://uk.wikipedia.org/wiki/%D0%9D%D0%B5%D0%BC%D0%B8%D1%80%D1%96%D0%B2%D1%81%D1%8C%D0%BA%D0%B5_%D0%B3%D0%BE%D1%80%D0%BE%D0%B4%D0%B8%D1%89%D0%B5_(%D0%BF%D0%B0%D0%BC%27%D1%8F%D1%82%D0%BA%D0%B0_%D0%BF%D1%80%D0%B8%D1%80%D0%BE%D0%B4%D0%B8)</w:t>
        </w:r>
      </w:hyperlink>
      <w:r w:rsidRPr="004F6A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(Останнє звернення 28.05.18)</w:t>
      </w:r>
      <w:r w:rsidRPr="004F6AFE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</w:p>
    <w:p w14:paraId="0E65B6FB" w14:textId="6F297147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5" w:name="_GoBack"/>
      <w:bookmarkEnd w:id="35"/>
    </w:p>
    <w:p w14:paraId="23EBB68B" w14:textId="24C6AED1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2D43DE" w14:textId="64918179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20F977" w14:textId="350F2365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CDB961" w14:textId="0F4D6FFE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CE2E21" w14:textId="08CC6D13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813783" w14:textId="693B6C9C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29C94" w14:textId="6FFD8F90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79712F" w14:textId="66F80B3D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D4040B" w14:textId="64ABEE83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EA1399" w14:textId="58FE9FA9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3FF062" w14:textId="1EF5BF36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B54BC3" w14:textId="4A286D2D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1426C" w14:textId="418DF25D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97BE69" w14:textId="4170C02D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8945E8" w14:textId="364B9AAA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794D3E" w14:textId="01950311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A357DA" w14:textId="316E1446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0C8AB5" w14:textId="67323451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0DFD37" w14:textId="0FB7EF24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5DE87C" w14:textId="13AC9D90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255FD9" w14:textId="14DAED10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C54180" w14:textId="036E984E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D5A2C8" w14:textId="52D2A035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58EB04" w14:textId="6F3CE984" w:rsid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D770E8" w14:textId="77777777" w:rsidR="00EE3EC5" w:rsidRPr="00EE3EC5" w:rsidRDefault="00EE3EC5" w:rsidP="00EE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35D30C" w14:textId="41A4D0CA" w:rsidR="00EE3EC5" w:rsidRPr="00EE3EC5" w:rsidRDefault="00EE3EC5" w:rsidP="00EE3EC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E3EC5" w:rsidRPr="00EE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0376"/>
    <w:multiLevelType w:val="multilevel"/>
    <w:tmpl w:val="E1B8D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C3C513C"/>
    <w:multiLevelType w:val="hybridMultilevel"/>
    <w:tmpl w:val="6572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F4ADD"/>
    <w:multiLevelType w:val="hybridMultilevel"/>
    <w:tmpl w:val="880CC6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F976D6"/>
    <w:multiLevelType w:val="hybridMultilevel"/>
    <w:tmpl w:val="8632B4EC"/>
    <w:lvl w:ilvl="0" w:tplc="363E5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4E"/>
    <w:rsid w:val="0076024E"/>
    <w:rsid w:val="00B02642"/>
    <w:rsid w:val="00E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053B"/>
  <w15:chartTrackingRefBased/>
  <w15:docId w15:val="{CF53E2A5-A9E7-4D31-9CF4-8B1B52C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EC5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EE3EC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E3EC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E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EE3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styleId="a3">
    <w:name w:val="Hyperlink"/>
    <w:basedOn w:val="a0"/>
    <w:uiPriority w:val="99"/>
    <w:unhideWhenUsed/>
    <w:rsid w:val="00EE3EC5"/>
    <w:rPr>
      <w:color w:val="0563C1" w:themeColor="hyperlink"/>
      <w:u w:val="single"/>
    </w:rPr>
  </w:style>
  <w:style w:type="paragraph" w:styleId="a4">
    <w:name w:val="TOC Heading"/>
    <w:basedOn w:val="1"/>
    <w:next w:val="a"/>
    <w:uiPriority w:val="39"/>
    <w:qFormat/>
    <w:rsid w:val="00EE3EC5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21">
    <w:name w:val="toc 2"/>
    <w:basedOn w:val="a"/>
    <w:next w:val="a"/>
    <w:autoRedefine/>
    <w:uiPriority w:val="39"/>
    <w:unhideWhenUsed/>
    <w:qFormat/>
    <w:rsid w:val="00EE3EC5"/>
    <w:pPr>
      <w:spacing w:after="100" w:line="276" w:lineRule="auto"/>
      <w:ind w:left="220"/>
    </w:pPr>
    <w:rPr>
      <w:rFonts w:ascii="Calibri" w:eastAsia="Times New Roman" w:hAnsi="Calibri" w:cs="Times New Roman"/>
      <w:lang w:val="ru-RU"/>
    </w:rPr>
  </w:style>
  <w:style w:type="paragraph" w:styleId="11">
    <w:name w:val="toc 1"/>
    <w:basedOn w:val="a"/>
    <w:next w:val="a"/>
    <w:autoRedefine/>
    <w:uiPriority w:val="39"/>
    <w:unhideWhenUsed/>
    <w:qFormat/>
    <w:rsid w:val="00EE3EC5"/>
    <w:pPr>
      <w:spacing w:after="100" w:line="276" w:lineRule="auto"/>
    </w:pPr>
    <w:rPr>
      <w:rFonts w:ascii="Calibri" w:eastAsia="Times New Roman" w:hAnsi="Calibri" w:cs="Times New Roman"/>
      <w:lang w:val="ru-RU"/>
    </w:rPr>
  </w:style>
  <w:style w:type="paragraph" w:styleId="3">
    <w:name w:val="toc 3"/>
    <w:basedOn w:val="a"/>
    <w:next w:val="a"/>
    <w:autoRedefine/>
    <w:uiPriority w:val="39"/>
    <w:unhideWhenUsed/>
    <w:qFormat/>
    <w:rsid w:val="00EE3EC5"/>
    <w:pPr>
      <w:spacing w:after="100" w:line="276" w:lineRule="auto"/>
      <w:ind w:left="440"/>
    </w:pPr>
    <w:rPr>
      <w:rFonts w:ascii="Calibri" w:eastAsia="Times New Roman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EE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208,baiaagaaboqcaaad2qyaaaxnbgaaaaaaaaaaaaaaaaaaaaaaaaaaaaaaaaaaaaaaaaaaaaaaaaaaaaaaaaaaaaaaaaaaaaaaaaaaaaaaaaaaaaaaaaaaaaaaaaaaaaaaaaaaaaaaaaaaaaaaaaaaaaaaaaaaaaaaaaaaaaaaaaaaaaaaaaaaaaaaaaaaaaaaaaaaaaaaaaaaaaaaaaaaaaaaaaaaaaaaaaaaaaaa"/>
    <w:basedOn w:val="a"/>
    <w:rsid w:val="00EE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EE3EC5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s://uk.wikipedia.org/wiki/%D0%9D%D0%B5%D0%BC%D0%B8%D1%80%D1%96%D0%B2%D1%81%D1%8C%D0%BA%D0%B5_%D0%B3%D0%BE%D1%80%D0%BE%D0%B4%D0%B8%D1%89%D0%B5_(%D0%BF%D0%B0%D0%BC%27%D1%8F%D1%82%D0%BA%D0%B0_%D0%BF%D1%80%D0%B8%D1%80%D0%BE%D0%B4%D0%B8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s://www.ncdc.noaa.gov/cdo-web/datasets/GSOY/stations/GHCND:UPM00033562/detail" TargetMode="Externa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tal\Desktop\&#1052;&#1054;&#1043;&#1048;&#1051;&#1030;&#1042;-&#1054;&#1041;&#1051;&#1030;&#1050;&#104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tal\Desktop\&#1052;&#1054;&#1043;&#1048;&#1051;&#1030;&#1042;-&#1054;&#1041;&#1051;&#1030;&#1050;&#104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tal\Desktop\&#1052;&#1054;&#1043;&#1048;&#1051;&#1030;&#1042;-&#1054;&#1041;&#1051;&#1030;&#1050;&#104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tal\Desktop\&#1052;&#1054;&#1043;&#1048;&#1051;&#1030;&#1042;-&#1054;&#1041;&#1051;&#1030;&#1050;&#104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tal\Desktop\&#1052;&#1054;&#1043;&#1048;&#1051;&#1030;&#1042;-&#1054;&#1041;&#1051;&#1030;&#1050;&#104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tal\Desktop\&#1052;&#1054;&#1043;&#1048;&#1051;&#1030;&#1042;-&#1054;&#1041;&#1051;&#1030;&#1050;&#104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444444444444445E-2"/>
          <c:y val="0.10185185185185186"/>
          <c:w val="0.72770406824146983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AEE-4996-84C8-93D380AF26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AEE-4996-84C8-93D380AF26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AEE-4996-84C8-93D380AF26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AEE-4996-84C8-93D380AF26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AEE-4996-84C8-93D380AF268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Аркуш1!$F$59:$F$63</c:f>
              <c:strCache>
                <c:ptCount val="5"/>
                <c:pt idx="0">
                  <c:v>Пантофаги</c:v>
                </c:pt>
                <c:pt idx="1">
                  <c:v>Ентомофаги</c:v>
                </c:pt>
                <c:pt idx="2">
                  <c:v>Фітофаги</c:v>
                </c:pt>
                <c:pt idx="3">
                  <c:v>Пантозоофаги</c:v>
                </c:pt>
                <c:pt idx="4">
                  <c:v>Орнітофаги</c:v>
                </c:pt>
              </c:strCache>
            </c:strRef>
          </c:cat>
          <c:val>
            <c:numRef>
              <c:f>Аркуш1!$G$59:$G$63</c:f>
              <c:numCache>
                <c:formatCode>General</c:formatCode>
                <c:ptCount val="5"/>
                <c:pt idx="0">
                  <c:v>21</c:v>
                </c:pt>
                <c:pt idx="1">
                  <c:v>18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AEE-4996-84C8-93D380AF268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68E-466C-8A2F-6761B53305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68E-466C-8A2F-6761B53305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68E-466C-8A2F-6761B53305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68E-466C-8A2F-6761B53305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68E-466C-8A2F-6761B533055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Аркуш1!$F$2:$F$6</c:f>
              <c:strCache>
                <c:ptCount val="5"/>
                <c:pt idx="0">
                  <c:v>Пантофаги</c:v>
                </c:pt>
                <c:pt idx="1">
                  <c:v>Ентомофаги</c:v>
                </c:pt>
                <c:pt idx="2">
                  <c:v>Фітофаги</c:v>
                </c:pt>
                <c:pt idx="3">
                  <c:v>Пантозоофаги</c:v>
                </c:pt>
                <c:pt idx="4">
                  <c:v>Орнітофаги</c:v>
                </c:pt>
              </c:strCache>
            </c:strRef>
          </c:cat>
          <c:val>
            <c:numRef>
              <c:f>Аркуш1!$G$2:$G$6</c:f>
              <c:numCache>
                <c:formatCode>General</c:formatCode>
                <c:ptCount val="5"/>
                <c:pt idx="0">
                  <c:v>19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68E-466C-8A2F-6761B533055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2.4024024024024031E-2"/>
          <c:w val="0.62101600089119779"/>
          <c:h val="0.9119119119119116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740-4AB7-93F3-759CD8A04A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740-4AB7-93F3-759CD8A04A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740-4AB7-93F3-759CD8A04A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740-4AB7-93F3-759CD8A04A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740-4AB7-93F3-759CD8A04A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5740-4AB7-93F3-759CD8A04AA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Аркуш5!$J$31:$J$36</c:f>
              <c:strCache>
                <c:ptCount val="6"/>
                <c:pt idx="0">
                  <c:v>В дуплах</c:v>
                </c:pt>
                <c:pt idx="1">
                  <c:v>В кронах</c:v>
                </c:pt>
                <c:pt idx="2">
                  <c:v>На землі </c:v>
                </c:pt>
                <c:pt idx="3">
                  <c:v>В кущах,середньому ярусі дерев</c:v>
                </c:pt>
                <c:pt idx="4">
                  <c:v>В кущах</c:v>
                </c:pt>
                <c:pt idx="5">
                  <c:v>На землі,на узліссі</c:v>
                </c:pt>
              </c:strCache>
            </c:strRef>
          </c:cat>
          <c:val>
            <c:numRef>
              <c:f>Аркуш5!$K$31:$K$36</c:f>
              <c:numCache>
                <c:formatCode>General</c:formatCode>
                <c:ptCount val="6"/>
                <c:pt idx="0">
                  <c:v>17</c:v>
                </c:pt>
                <c:pt idx="1">
                  <c:v>21</c:v>
                </c:pt>
                <c:pt idx="2">
                  <c:v>4</c:v>
                </c:pt>
                <c:pt idx="3">
                  <c:v>2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740-4AB7-93F3-759CD8A04AA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0D7-4126-8D9D-418B385DCC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0D7-4126-8D9D-418B385DCC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0D7-4126-8D9D-418B385DCC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0D7-4126-8D9D-418B385DCC8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Аркуш5!$E$3:$E$6</c:f>
              <c:strCache>
                <c:ptCount val="4"/>
                <c:pt idx="0">
                  <c:v>В дуплах</c:v>
                </c:pt>
                <c:pt idx="1">
                  <c:v>В кронах</c:v>
                </c:pt>
                <c:pt idx="2">
                  <c:v>На землі</c:v>
                </c:pt>
                <c:pt idx="3">
                  <c:v>В кущах</c:v>
                </c:pt>
              </c:strCache>
            </c:strRef>
          </c:cat>
          <c:val>
            <c:numRef>
              <c:f>Аркуш5!$F$3:$F$6</c:f>
              <c:numCache>
                <c:formatCode>General</c:formatCode>
                <c:ptCount val="4"/>
                <c:pt idx="0">
                  <c:v>16</c:v>
                </c:pt>
                <c:pt idx="1">
                  <c:v>13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0D7-4126-8D9D-418B385DCC8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CA3-4830-A949-5B6B804F1E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CA3-4830-A949-5B6B804F1E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CA3-4830-A949-5B6B804F1E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CA3-4830-A949-5B6B804F1EA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CA3-4830-A949-5B6B804F1EA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Аркуш6!$G$33:$G$37</c:f>
              <c:strCache>
                <c:ptCount val="5"/>
                <c:pt idx="0">
                  <c:v>Західно палеарктичний тип</c:v>
                </c:pt>
                <c:pt idx="1">
                  <c:v>Транспалеарктичний тип</c:v>
                </c:pt>
                <c:pt idx="2">
                  <c:v>Космополітний/Напівкосмополітний тп</c:v>
                </c:pt>
                <c:pt idx="3">
                  <c:v>Трансголарктичний тип</c:v>
                </c:pt>
                <c:pt idx="4">
                  <c:v>Південно палеарктичний тип </c:v>
                </c:pt>
              </c:strCache>
            </c:strRef>
          </c:cat>
          <c:val>
            <c:numRef>
              <c:f>Аркуш6!$H$33:$H$37</c:f>
              <c:numCache>
                <c:formatCode>General</c:formatCode>
                <c:ptCount val="5"/>
                <c:pt idx="0">
                  <c:v>15</c:v>
                </c:pt>
                <c:pt idx="1">
                  <c:v>11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CA3-4830-A949-5B6B804F1E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CBD-455C-B31A-0447011B52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CBD-455C-B31A-0447011B52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CBD-455C-B31A-0447011B52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CBD-455C-B31A-0447011B52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CBD-455C-B31A-0447011B523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Аркуш6!$M$6:$M$10</c:f>
              <c:strCache>
                <c:ptCount val="5"/>
                <c:pt idx="0">
                  <c:v>Західно палеарктичний тип</c:v>
                </c:pt>
                <c:pt idx="1">
                  <c:v>Транспалеарктичний тип</c:v>
                </c:pt>
                <c:pt idx="2">
                  <c:v>Космополітний/Напівкосмополітний тп</c:v>
                </c:pt>
                <c:pt idx="3">
                  <c:v>Трансголарктичний тип</c:v>
                </c:pt>
                <c:pt idx="4">
                  <c:v>Південно палеарктичний тип </c:v>
                </c:pt>
              </c:strCache>
            </c:strRef>
          </c:cat>
          <c:val>
            <c:numRef>
              <c:f>Аркуш6!$N$6:$N$10</c:f>
              <c:numCache>
                <c:formatCode>General</c:formatCode>
                <c:ptCount val="5"/>
                <c:pt idx="0">
                  <c:v>23</c:v>
                </c:pt>
                <c:pt idx="1">
                  <c:v>18</c:v>
                </c:pt>
                <c:pt idx="2">
                  <c:v>7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CBD-455C-B31A-0447011B523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3976</Words>
  <Characters>22666</Characters>
  <Application>Microsoft Office Word</Application>
  <DocSecurity>0</DocSecurity>
  <Lines>188</Lines>
  <Paragraphs>53</Paragraphs>
  <ScaleCrop>false</ScaleCrop>
  <Company/>
  <LinksUpToDate>false</LinksUpToDate>
  <CharactersWithSpaces>26589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Павленко</dc:creator>
  <cp:keywords/>
  <dc:description/>
  <cp:lastModifiedBy>Віталій Павленко</cp:lastModifiedBy>
  <cp:revision>2</cp:revision>
  <dcterms:created xsi:type="dcterms:W3CDTF">2020-01-31T15:26:00Z</dcterms:created>
  <dcterms:modified xsi:type="dcterms:W3CDTF">2020-01-31T15:35:00Z</dcterms:modified>
</cp:coreProperties>
</file>